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jc w:val="center"/>
      </w:pPr>
      <w:r>
        <w:rPr>
          <w:b/>
          <w:bCs/>
        </w:rPr>
        <w:t xml:space="preserve">التقرير السنوي لمبادرة سلسلة رؤى ماستري للتميز لنشر المعرفة</w:t>
      </w:r>
    </w:p>
    <w:p>
      <w:pPr>
        <w:bidi/>
        <w:jc w:val="center"/>
      </w:pPr>
      <w:r>
        <w:rPr>
          <w:i/>
          <w:iCs/>
          <w:color w:val="5B6B7A"/>
          <w:sz w:val="20"/>
          <w:szCs w:val="20"/>
        </w:rPr>
        <w:t xml:space="preserve">العام الأول من التنفيذ — فبراير 2025 إلى يناير 2026</w:t>
      </w:r>
    </w:p>
    <w:p/>
    <w:p>
      <w:pPr>
        <w:pStyle w:val="Heading2"/>
        <w:bidi/>
        <w:spacing w:after="120" w:before="240"/>
        <w:jc w:val="right"/>
      </w:pPr>
      <w:r>
        <w:rPr>
          <w:b/>
          <w:bCs/>
          <w:color w:val="0B2140"/>
        </w:rPr>
        <w:t xml:space="preserve">نبذة عن المبادرة</w:t>
      </w:r>
    </w:p>
    <w:p>
      <w:pPr>
        <w:bidi/>
        <w:spacing w:after="160"/>
        <w:jc w:val="right"/>
      </w:pPr>
      <w:r>
        <w:rPr>
          <w:sz w:val="21"/>
          <w:szCs w:val="21"/>
        </w:rPr>
        <w:t xml:space="preserve">انطلاقاً من التزام شركة ماستري للاستشارات الإدارية بدورها في نشر المعرفة وتعزيز ثقافة التميز المؤسسي، أطلقت الشركة مبادرة "سلسلة رؤى ماستري للتميز"، وهي سلسلة من الأمسيات المعرفية المتخصصة التي تهدف إلى مشاركة أفضل الممارسات والخبرات في مجالات التميز المؤسسي، الاستراتيجية، تجربة المتعاملين، الابتكار، الجودة والاستدامة.</w:t>
      </w:r>
    </w:p>
    <w:p>
      <w:pPr>
        <w:pStyle w:val="Heading2"/>
        <w:bidi/>
        <w:spacing w:after="120" w:before="240"/>
        <w:jc w:val="right"/>
      </w:pPr>
      <w:r>
        <w:rPr>
          <w:b/>
          <w:bCs/>
          <w:color w:val="0B2140"/>
        </w:rPr>
        <w:t xml:space="preserve">أبرز الأرقام</w:t>
      </w:r>
    </w:p>
    <w:p>
      <w:pPr>
        <w:bidi/>
        <w:spacing w:after="160"/>
        <w:jc w:val="right"/>
      </w:pPr>
      <w:r>
        <w:rPr>
          <w:sz w:val="21"/>
          <w:szCs w:val="21"/>
        </w:rPr>
        <w:t xml:space="preserve">عدد الأمسيات المنفذة: 11 أمسية معرفية.</w:t>
      </w:r>
    </w:p>
    <w:p>
      <w:pPr>
        <w:bidi/>
        <w:spacing w:after="160"/>
        <w:jc w:val="right"/>
      </w:pPr>
      <w:r>
        <w:rPr>
          <w:sz w:val="21"/>
          <w:szCs w:val="21"/>
        </w:rPr>
        <w:t xml:space="preserve">عدد المستفيدين: أكثر من 400 مشارك من أفراد المجتمع وموظفي الجهات الحكومية.</w:t>
      </w:r>
    </w:p>
    <w:p>
      <w:pPr>
        <w:bidi/>
        <w:spacing w:after="160"/>
        <w:jc w:val="right"/>
      </w:pPr>
      <w:r>
        <w:rPr>
          <w:sz w:val="21"/>
          <w:szCs w:val="21"/>
        </w:rPr>
        <w:t xml:space="preserve">متوسط عدد الحضور لكل أمسية: نحو 37 مشاركاً.</w:t>
      </w:r>
    </w:p>
    <w:p>
      <w:pPr>
        <w:bidi/>
        <w:spacing w:after="160"/>
        <w:jc w:val="right"/>
      </w:pPr>
      <w:r>
        <w:rPr>
          <w:sz w:val="21"/>
          <w:szCs w:val="21"/>
        </w:rPr>
        <w:t xml:space="preserve">عدد شهادات المشاركة الممنوحة: بحسب عدد الحضور الفعلي في كل أمسية.</w:t>
      </w:r>
    </w:p>
    <w:p>
      <w:pPr>
        <w:bidi/>
        <w:spacing w:after="160"/>
        <w:jc w:val="right"/>
      </w:pPr>
      <w:r>
        <w:rPr>
          <w:sz w:val="21"/>
          <w:szCs w:val="21"/>
        </w:rPr>
        <w:t xml:space="preserve">نسبة رضا المشاركين: 91% (وفق استبيانات التقييم المرفقة).</w:t>
      </w:r>
    </w:p>
    <w:p>
      <w:pPr>
        <w:pStyle w:val="Heading2"/>
        <w:bidi/>
        <w:spacing w:after="120" w:before="240"/>
        <w:jc w:val="right"/>
      </w:pPr>
      <w:r>
        <w:rPr>
          <w:b/>
          <w:bCs/>
          <w:color w:val="0B2140"/>
        </w:rPr>
        <w:t xml:space="preserve">الأثر المجتمعي</w:t>
      </w:r>
    </w:p>
    <w:p>
      <w:pPr>
        <w:bidi/>
        <w:spacing w:after="160"/>
        <w:jc w:val="right"/>
      </w:pPr>
      <w:r>
        <w:rPr>
          <w:sz w:val="21"/>
          <w:szCs w:val="21"/>
        </w:rPr>
        <w:t xml:space="preserve">ساهمت المبادرة في رفع الوعي بمفاهيم التميز المؤسسي وتطبيقاته العملية لدى شريحة واسعة من المستفيدين، ودعمت نشر المعرفة المتخصصة وتبادل الخبرات بين المختصين والمهتمين، وعززت ثقافة التطوير المستمر والتعلم مدى الحياة، خصوصاً لدى موظفي الجهات الحكومية المشاركة.</w:t>
      </w:r>
    </w:p>
    <w:p>
      <w:pPr>
        <w:pStyle w:val="Heading2"/>
        <w:bidi/>
        <w:spacing w:after="120" w:before="240"/>
        <w:jc w:val="right"/>
      </w:pPr>
      <w:r>
        <w:rPr>
          <w:b/>
          <w:bCs/>
          <w:color w:val="0B2140"/>
        </w:rPr>
        <w:t xml:space="preserve">القنوات الإعلامية والتفاعل الرقمي</w:t>
      </w:r>
    </w:p>
    <w:p>
      <w:pPr>
        <w:bidi/>
        <w:spacing w:after="160"/>
        <w:jc w:val="right"/>
      </w:pPr>
      <w:r>
        <w:rPr>
          <w:sz w:val="21"/>
          <w:szCs w:val="21"/>
        </w:rPr>
        <w:t xml:space="preserve">أُعلن عن كل أمسية عبر حسابات الشركة في منصتي X وLinkedIn، إضافة إلى مجموعات بريدية للجهات الحكومية الشريكة. بلغ إجمالي مرات الظهور الرقمي لمنشورات المبادرة نحو 58,000 مشاهدة، مع معدل تفاعل بلغ 6.4%.</w:t>
      </w:r>
    </w:p>
    <w:p>
      <w:pPr>
        <w:pStyle w:val="Heading2"/>
        <w:bidi/>
        <w:spacing w:after="120" w:before="240"/>
        <w:jc w:val="right"/>
      </w:pPr>
      <w:r>
        <w:rPr>
          <w:b/>
          <w:bCs/>
          <w:color w:val="0B2140"/>
        </w:rPr>
        <w:t xml:space="preserve">التطلعات المستقبلية</w:t>
      </w:r>
    </w:p>
    <w:p>
      <w:pPr>
        <w:bidi/>
        <w:spacing w:after="160"/>
        <w:jc w:val="right"/>
      </w:pPr>
      <w:r>
        <w:rPr>
          <w:sz w:val="21"/>
          <w:szCs w:val="21"/>
        </w:rPr>
        <w:t xml:space="preserve">تعتزم الشركة توسيع نطاق المبادرة خلال العام القادم لتشمل أمسيات نوعية إضافية في مجالي التحول الرقمي وإدارة المخاطر المؤسسية، مع استحداث نسخة إلكترونية مسجَّلة لأرشيف الأمسيات لضمان استمرارية الاستفادة منها.</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2026-08-05T16:29:06.396Z</dcterms:created>
  <dcterms:modified xsi:type="dcterms:W3CDTF">2026-08-05T16:29:06.397Z</dcterms:modified>
</cp:coreProperties>
</file>

<file path=docProps/custom.xml><?xml version="1.0" encoding="utf-8"?>
<Properties xmlns="http://schemas.openxmlformats.org/officeDocument/2006/custom-properties" xmlns:vt="http://schemas.openxmlformats.org/officeDocument/2006/docPropsVTypes"/>
</file>