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b/>
          <w:bCs/>
          <w:color w:val="6B7280"/>
          <w:sz w:val="22"/>
          <w:szCs w:val="22"/>
        </w:rPr>
        <w:t xml:space="preserve">مركز آفاق للتطوير المؤسسي</w:t>
      </w:r>
    </w:p>
    <w:p>
      <w:pPr>
        <w:pStyle w:val="Heading1"/>
        <w:bidi/>
        <w:jc w:val="center"/>
      </w:pPr>
      <w:r>
        <w:rPr>
          <w:b/>
          <w:bCs/>
        </w:rPr>
        <w:t xml:space="preserve">جدول لقاءات مبادرة "ملتقى المعرفة الرقمي"</w:t>
      </w:r>
    </w:p>
    <w:p>
      <w:pPr>
        <w:bidi/>
        <w:jc w:val="center"/>
      </w:pPr>
      <w:r>
        <w:rPr>
          <w:i/>
          <w:iCs/>
          <w:color w:val="5B6B7A"/>
          <w:sz w:val="20"/>
          <w:szCs w:val="20"/>
        </w:rPr>
        <w:t xml:space="preserve">3 لقاءات معرفية — يونيو إلى أكتوبر 2025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500"/>
        <w:gridCol w:w="2000"/>
      </w:tblGrid>
      <w:tr>
        <w:tc>
          <w:tcPr>
            <w:tcW w:type="pct" w:w="25%"/>
            <w:shd w:fill="6B728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  <w:tc>
          <w:tcPr>
            <w:tcW w:type="pct" w:w="25%"/>
            <w:shd w:fill="6B728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عنوان اللقاء</w:t>
            </w:r>
          </w:p>
        </w:tc>
        <w:tc>
          <w:tcPr>
            <w:tcW w:type="pct" w:w="25%"/>
            <w:shd w:fill="6B728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المتحدث</w:t>
            </w:r>
          </w:p>
        </w:tc>
        <w:tc>
          <w:tcPr>
            <w:tcW w:type="pct" w:w="25%"/>
            <w:shd w:fill="6B728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الموقع / المنصة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18/06/2025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مقدمة في إدارة الجودة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أ. سلطان العمري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عن بُعد (Zoom)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20/08/2025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أساسيات تجربة العميل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أ. هند الشهري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عن بُعد (Zoom)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15/10/2025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مدخل إلى الابتكار المؤسسي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أ. عمر الزهراني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قاعة اجتماعات المكتب الرئيسي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2026-08-05T16:29:54.618Z</dcterms:created>
  <dcterms:modified xsi:type="dcterms:W3CDTF">2026-08-05T16:29:54.619Z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