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A30B" w14:textId="77777777" w:rsidR="00C87D44" w:rsidRPr="000631F1" w:rsidRDefault="00FD37EF" w:rsidP="00FD37EF">
      <w:pPr>
        <w:jc w:val="center"/>
        <w:rPr>
          <w:rFonts w:ascii="Arial" w:hAnsi="Arial" w:cs="Arial"/>
          <w:b/>
          <w:bCs/>
          <w:sz w:val="48"/>
          <w:szCs w:val="48"/>
        </w:rPr>
      </w:pPr>
      <w:r w:rsidRPr="000631F1">
        <w:rPr>
          <w:rFonts w:ascii="Arial" w:hAnsi="Arial" w:cs="Arial"/>
          <w:b/>
          <w:bCs/>
          <w:sz w:val="48"/>
          <w:szCs w:val="48"/>
        </w:rPr>
        <w:t>Literature Review</w:t>
      </w:r>
    </w:p>
    <w:p w14:paraId="6B45B4CF" w14:textId="77777777" w:rsidR="00FD37EF" w:rsidRPr="000631F1" w:rsidRDefault="00FD37EF" w:rsidP="00FD37EF">
      <w:pPr>
        <w:jc w:val="center"/>
        <w:rPr>
          <w:rFonts w:ascii="Arial" w:hAnsi="Arial" w:cs="Arial"/>
          <w:sz w:val="48"/>
          <w:szCs w:val="48"/>
        </w:rPr>
      </w:pPr>
    </w:p>
    <w:p w14:paraId="06B3FB6D" w14:textId="77777777" w:rsidR="00EE1355" w:rsidRPr="000631F1" w:rsidRDefault="00EE1355" w:rsidP="00EE1355">
      <w:pPr>
        <w:jc w:val="center"/>
        <w:rPr>
          <w:rFonts w:ascii="Arial" w:hAnsi="Arial" w:cs="Arial"/>
          <w:b/>
          <w:bCs/>
          <w:sz w:val="48"/>
          <w:szCs w:val="48"/>
        </w:rPr>
      </w:pPr>
      <w:r w:rsidRPr="000631F1">
        <w:rPr>
          <w:rFonts w:ascii="Arial" w:hAnsi="Arial" w:cs="Arial"/>
          <w:b/>
          <w:bCs/>
          <w:sz w:val="48"/>
          <w:szCs w:val="48"/>
        </w:rPr>
        <w:t>AI Act Compliance for Credit Scoring: Automating FRIA, Cybersecurity</w:t>
      </w:r>
    </w:p>
    <w:p w14:paraId="7DC9EDEC" w14:textId="41C1421E" w:rsidR="00FD37EF" w:rsidRPr="000631F1" w:rsidRDefault="00EE1355" w:rsidP="00EE1355">
      <w:pPr>
        <w:jc w:val="center"/>
        <w:rPr>
          <w:rFonts w:ascii="Arial" w:hAnsi="Arial" w:cs="Arial"/>
          <w:b/>
          <w:bCs/>
          <w:sz w:val="48"/>
          <w:szCs w:val="48"/>
        </w:rPr>
      </w:pPr>
      <w:r w:rsidRPr="000631F1">
        <w:rPr>
          <w:rFonts w:ascii="Arial" w:hAnsi="Arial" w:cs="Arial"/>
          <w:b/>
          <w:bCs/>
          <w:sz w:val="48"/>
          <w:szCs w:val="48"/>
        </w:rPr>
        <w:t>and Fairness</w:t>
      </w:r>
    </w:p>
    <w:p w14:paraId="608B695C" w14:textId="77777777" w:rsidR="00EE1355" w:rsidRDefault="00EE1355" w:rsidP="00EE1355">
      <w:pPr>
        <w:rPr>
          <w:rFonts w:ascii="Arial" w:hAnsi="Arial" w:cs="Arial"/>
          <w:b/>
          <w:bCs/>
          <w:sz w:val="48"/>
          <w:szCs w:val="48"/>
        </w:rPr>
      </w:pPr>
    </w:p>
    <w:p w14:paraId="1FAD7023" w14:textId="77777777" w:rsidR="005057C1" w:rsidRPr="000631F1" w:rsidRDefault="005057C1" w:rsidP="00EE1355">
      <w:pPr>
        <w:rPr>
          <w:rFonts w:ascii="Arial" w:hAnsi="Arial" w:cs="Arial"/>
          <w:b/>
          <w:bCs/>
          <w:sz w:val="48"/>
          <w:szCs w:val="48"/>
        </w:rPr>
      </w:pPr>
    </w:p>
    <w:p w14:paraId="4F15A9F3" w14:textId="7A9A7A78" w:rsidR="00EE1355" w:rsidRDefault="00EE1355" w:rsidP="00EE1355">
      <w:pPr>
        <w:jc w:val="center"/>
        <w:rPr>
          <w:rFonts w:ascii="Arial" w:hAnsi="Arial" w:cs="Arial"/>
          <w:b/>
          <w:bCs/>
          <w:sz w:val="48"/>
          <w:szCs w:val="48"/>
        </w:rPr>
      </w:pPr>
      <w:r w:rsidRPr="000631F1">
        <w:rPr>
          <w:rFonts w:ascii="Arial" w:hAnsi="Arial" w:cs="Arial"/>
          <w:b/>
          <w:bCs/>
          <w:sz w:val="48"/>
          <w:szCs w:val="48"/>
        </w:rPr>
        <w:t>Student Name: Suhana Sayyad</w:t>
      </w:r>
    </w:p>
    <w:p w14:paraId="789EA073" w14:textId="72797DC0" w:rsidR="005057C1" w:rsidRPr="000631F1" w:rsidRDefault="005057C1" w:rsidP="00EE1355">
      <w:pPr>
        <w:jc w:val="center"/>
        <w:rPr>
          <w:rFonts w:ascii="Arial" w:hAnsi="Arial" w:cs="Arial"/>
          <w:b/>
          <w:bCs/>
          <w:sz w:val="48"/>
          <w:szCs w:val="48"/>
        </w:rPr>
      </w:pPr>
      <w:r>
        <w:rPr>
          <w:rFonts w:ascii="Arial" w:hAnsi="Arial" w:cs="Arial"/>
          <w:b/>
          <w:bCs/>
          <w:sz w:val="48"/>
          <w:szCs w:val="48"/>
        </w:rPr>
        <w:t>Student ID: A00336132</w:t>
      </w:r>
    </w:p>
    <w:p w14:paraId="77BD520C" w14:textId="3165A3A4" w:rsidR="00EE1355" w:rsidRPr="000631F1" w:rsidRDefault="00EE1355" w:rsidP="00EE1355">
      <w:pPr>
        <w:jc w:val="center"/>
        <w:rPr>
          <w:rFonts w:ascii="Arial" w:hAnsi="Arial" w:cs="Arial"/>
          <w:b/>
          <w:bCs/>
          <w:sz w:val="48"/>
          <w:szCs w:val="48"/>
          <w:lang w:val="en-IN"/>
        </w:rPr>
      </w:pPr>
      <w:r w:rsidRPr="000631F1">
        <w:rPr>
          <w:rFonts w:ascii="Arial" w:hAnsi="Arial" w:cs="Arial"/>
          <w:b/>
          <w:bCs/>
          <w:sz w:val="48"/>
          <w:szCs w:val="48"/>
          <w:lang w:val="en-IN"/>
        </w:rPr>
        <w:t>Supervisor: Dr. Amit Hirway</w:t>
      </w:r>
    </w:p>
    <w:p w14:paraId="1A27FAB1" w14:textId="77777777" w:rsidR="00EE1355" w:rsidRDefault="00EE1355" w:rsidP="00EE1355">
      <w:pPr>
        <w:jc w:val="center"/>
        <w:rPr>
          <w:rFonts w:ascii="Arial" w:hAnsi="Arial" w:cs="Arial"/>
          <w:b/>
          <w:bCs/>
          <w:sz w:val="48"/>
          <w:szCs w:val="48"/>
          <w:lang w:val="en-IN"/>
        </w:rPr>
      </w:pPr>
    </w:p>
    <w:p w14:paraId="31C5A3E7" w14:textId="77777777" w:rsidR="005057C1" w:rsidRPr="000631F1" w:rsidRDefault="005057C1" w:rsidP="00EE1355">
      <w:pPr>
        <w:jc w:val="center"/>
        <w:rPr>
          <w:rFonts w:ascii="Arial" w:hAnsi="Arial" w:cs="Arial"/>
          <w:b/>
          <w:bCs/>
          <w:sz w:val="48"/>
          <w:szCs w:val="48"/>
          <w:lang w:val="en-IN"/>
        </w:rPr>
      </w:pPr>
    </w:p>
    <w:p w14:paraId="2FB04DEE" w14:textId="77777777" w:rsidR="00EE1355" w:rsidRPr="000631F1" w:rsidRDefault="00EE1355" w:rsidP="00EE1355">
      <w:pPr>
        <w:jc w:val="center"/>
        <w:rPr>
          <w:rFonts w:ascii="Arial" w:hAnsi="Arial" w:cs="Arial"/>
          <w:b/>
          <w:bCs/>
          <w:sz w:val="48"/>
          <w:szCs w:val="48"/>
          <w:lang w:val="en-IN"/>
        </w:rPr>
      </w:pPr>
      <w:r w:rsidRPr="000631F1">
        <w:rPr>
          <w:rFonts w:ascii="Arial" w:hAnsi="Arial" w:cs="Arial"/>
          <w:b/>
          <w:bCs/>
          <w:sz w:val="48"/>
          <w:szCs w:val="48"/>
          <w:lang w:val="en-IN"/>
        </w:rPr>
        <w:t>MSc in Software Design with Cybersecurity</w:t>
      </w:r>
    </w:p>
    <w:p w14:paraId="0267B70B" w14:textId="52CA2F77" w:rsidR="005057C1" w:rsidRDefault="00EE1355" w:rsidP="00F54E08">
      <w:pPr>
        <w:jc w:val="center"/>
        <w:rPr>
          <w:rFonts w:ascii="Arial" w:hAnsi="Arial" w:cs="Arial"/>
          <w:b/>
          <w:bCs/>
          <w:sz w:val="48"/>
          <w:szCs w:val="48"/>
        </w:rPr>
      </w:pPr>
      <w:r w:rsidRPr="000631F1">
        <w:rPr>
          <w:rFonts w:ascii="Arial" w:hAnsi="Arial" w:cs="Arial"/>
          <w:b/>
          <w:bCs/>
          <w:sz w:val="48"/>
          <w:szCs w:val="48"/>
          <w:lang w:val="en-IN"/>
        </w:rPr>
        <w:t>Technological University of the Shannon, Athlone</w:t>
      </w:r>
    </w:p>
    <w:p w14:paraId="100F0C62" w14:textId="77777777" w:rsidR="005057C1" w:rsidRDefault="005057C1" w:rsidP="00FD37EF">
      <w:pPr>
        <w:jc w:val="center"/>
        <w:rPr>
          <w:rFonts w:ascii="Arial" w:hAnsi="Arial" w:cs="Arial"/>
          <w:b/>
          <w:bCs/>
          <w:sz w:val="48"/>
          <w:szCs w:val="48"/>
        </w:rPr>
      </w:pPr>
    </w:p>
    <w:p w14:paraId="3226C0A7" w14:textId="77777777" w:rsidR="00F54E08" w:rsidRPr="000631F1" w:rsidRDefault="00F54E08" w:rsidP="00FD37EF">
      <w:pPr>
        <w:jc w:val="center"/>
        <w:rPr>
          <w:rFonts w:ascii="Arial" w:hAnsi="Arial" w:cs="Arial"/>
          <w:b/>
          <w:bCs/>
          <w:sz w:val="48"/>
          <w:szCs w:val="48"/>
        </w:rPr>
      </w:pPr>
    </w:p>
    <w:p w14:paraId="48C9AF18" w14:textId="0D154D57" w:rsidR="000631F1" w:rsidRPr="005057C1" w:rsidRDefault="00FD37EF" w:rsidP="005057C1">
      <w:pPr>
        <w:jc w:val="center"/>
        <w:rPr>
          <w:rFonts w:ascii="Arial" w:hAnsi="Arial" w:cs="Arial"/>
          <w:b/>
          <w:bCs/>
          <w:sz w:val="48"/>
          <w:szCs w:val="48"/>
        </w:rPr>
      </w:pPr>
      <w:r w:rsidRPr="000631F1">
        <w:rPr>
          <w:rFonts w:ascii="Arial" w:hAnsi="Arial" w:cs="Arial"/>
          <w:b/>
          <w:bCs/>
          <w:sz w:val="48"/>
          <w:szCs w:val="48"/>
        </w:rPr>
        <w:t>Submission date</w:t>
      </w:r>
      <w:r w:rsidR="00EE1355" w:rsidRPr="000631F1">
        <w:rPr>
          <w:rFonts w:ascii="Arial" w:hAnsi="Arial" w:cs="Arial"/>
          <w:b/>
          <w:bCs/>
          <w:sz w:val="48"/>
          <w:szCs w:val="48"/>
        </w:rPr>
        <w:t>:</w:t>
      </w:r>
      <w:r w:rsidR="00F54E08">
        <w:rPr>
          <w:rFonts w:ascii="Arial" w:hAnsi="Arial" w:cs="Arial"/>
          <w:b/>
          <w:bCs/>
          <w:sz w:val="48"/>
          <w:szCs w:val="48"/>
        </w:rPr>
        <w:t xml:space="preserve"> 3</w:t>
      </w:r>
      <w:r w:rsidR="00F54E08" w:rsidRPr="00F54E08">
        <w:rPr>
          <w:rFonts w:ascii="Arial" w:hAnsi="Arial" w:cs="Arial"/>
          <w:b/>
          <w:bCs/>
          <w:sz w:val="48"/>
          <w:szCs w:val="48"/>
          <w:vertAlign w:val="superscript"/>
        </w:rPr>
        <w:t>rd</w:t>
      </w:r>
      <w:r w:rsidR="00F54E08">
        <w:rPr>
          <w:rFonts w:ascii="Arial" w:hAnsi="Arial" w:cs="Arial"/>
          <w:b/>
          <w:bCs/>
          <w:sz w:val="48"/>
          <w:szCs w:val="48"/>
        </w:rPr>
        <w:t xml:space="preserve"> June 2026</w:t>
      </w:r>
    </w:p>
    <w:p w14:paraId="0DBE027D" w14:textId="77777777" w:rsidR="00F54E08" w:rsidRDefault="00F54E08" w:rsidP="00FD37EF">
      <w:pPr>
        <w:jc w:val="center"/>
        <w:rPr>
          <w:rFonts w:ascii="Arial" w:hAnsi="Arial" w:cs="Arial"/>
          <w:b/>
          <w:bCs/>
          <w:sz w:val="56"/>
          <w:szCs w:val="56"/>
        </w:rPr>
      </w:pPr>
    </w:p>
    <w:p w14:paraId="160E4107" w14:textId="35DD8181" w:rsidR="00170BBC" w:rsidRPr="006E3F5F" w:rsidRDefault="00170BBC" w:rsidP="00FD37EF">
      <w:pPr>
        <w:jc w:val="center"/>
        <w:rPr>
          <w:rFonts w:ascii="Arial" w:hAnsi="Arial" w:cs="Arial"/>
          <w:b/>
          <w:bCs/>
          <w:sz w:val="56"/>
          <w:szCs w:val="56"/>
        </w:rPr>
      </w:pPr>
      <w:r w:rsidRPr="006E3F5F">
        <w:rPr>
          <w:rFonts w:ascii="Arial" w:hAnsi="Arial" w:cs="Arial"/>
          <w:b/>
          <w:bCs/>
          <w:sz w:val="56"/>
          <w:szCs w:val="56"/>
        </w:rPr>
        <w:t>Table of Contents</w:t>
      </w:r>
    </w:p>
    <w:sdt>
      <w:sdtPr>
        <w:rPr>
          <w:rFonts w:ascii="Arial" w:eastAsiaTheme="minorHAnsi" w:hAnsi="Arial" w:cs="Arial"/>
          <w:color w:val="auto"/>
          <w:sz w:val="22"/>
          <w:szCs w:val="22"/>
          <w:lang w:val="en-GB"/>
        </w:rPr>
        <w:id w:val="1363013185"/>
        <w:docPartObj>
          <w:docPartGallery w:val="Table of Contents"/>
          <w:docPartUnique/>
        </w:docPartObj>
      </w:sdtPr>
      <w:sdtEndPr>
        <w:rPr>
          <w:rFonts w:asciiTheme="minorHAnsi" w:hAnsiTheme="minorHAnsi" w:cstheme="minorBidi"/>
          <w:b/>
          <w:bCs/>
          <w:noProof/>
        </w:rPr>
      </w:sdtEndPr>
      <w:sdtContent>
        <w:p w14:paraId="3BE15BE5" w14:textId="77777777" w:rsidR="001B46C9" w:rsidRDefault="001B46C9">
          <w:pPr>
            <w:pStyle w:val="TOCHeading"/>
            <w:rPr>
              <w:rFonts w:ascii="Arial" w:hAnsi="Arial" w:cs="Arial"/>
              <w:b/>
              <w:color w:val="000000" w:themeColor="text1"/>
            </w:rPr>
          </w:pPr>
          <w:r w:rsidRPr="006E3F5F">
            <w:rPr>
              <w:rFonts w:ascii="Arial" w:hAnsi="Arial" w:cs="Arial"/>
              <w:b/>
              <w:color w:val="000000" w:themeColor="text1"/>
            </w:rPr>
            <w:t>Contents</w:t>
          </w:r>
        </w:p>
        <w:p w14:paraId="35DF4E43" w14:textId="77777777" w:rsidR="00F54E08" w:rsidRPr="00F54E08" w:rsidRDefault="00F54E08" w:rsidP="00F54E08">
          <w:pPr>
            <w:rPr>
              <w:lang w:val="en-US"/>
            </w:rPr>
          </w:pPr>
        </w:p>
        <w:p w14:paraId="0EF1F416" w14:textId="562B0DCB" w:rsidR="006E3F5F" w:rsidRPr="006E3F5F" w:rsidRDefault="001B46C9">
          <w:pPr>
            <w:pStyle w:val="TOC1"/>
            <w:rPr>
              <w:rFonts w:asciiTheme="minorHAnsi" w:eastAsiaTheme="minorEastAsia" w:hAnsiTheme="minorHAnsi" w:cstheme="minorBidi"/>
              <w:kern w:val="2"/>
              <w:sz w:val="24"/>
              <w:szCs w:val="24"/>
              <w:lang w:val="en-IN" w:eastAsia="en-IN"/>
              <w14:ligatures w14:val="standardContextual"/>
            </w:rPr>
          </w:pPr>
          <w:r w:rsidRPr="006E3F5F">
            <w:rPr>
              <w:rFonts w:ascii="Garamond" w:hAnsi="Garamond"/>
              <w:noProof w:val="0"/>
            </w:rPr>
            <w:fldChar w:fldCharType="begin"/>
          </w:r>
          <w:r w:rsidRPr="006E3F5F">
            <w:rPr>
              <w:rFonts w:ascii="Garamond" w:hAnsi="Garamond"/>
            </w:rPr>
            <w:instrText xml:space="preserve"> TOC \o "1-3" \h \z \u </w:instrText>
          </w:r>
          <w:r w:rsidRPr="006E3F5F">
            <w:rPr>
              <w:rFonts w:ascii="Garamond" w:hAnsi="Garamond"/>
              <w:noProof w:val="0"/>
            </w:rPr>
            <w:fldChar w:fldCharType="separate"/>
          </w:r>
          <w:hyperlink w:anchor="_Toc230337253" w:history="1">
            <w:r w:rsidR="006E3F5F" w:rsidRPr="006E3F5F">
              <w:rPr>
                <w:rStyle w:val="Hyperlink"/>
              </w:rPr>
              <w:t>1. Introduction</w:t>
            </w:r>
            <w:r w:rsidR="006E3F5F" w:rsidRPr="006E3F5F">
              <w:rPr>
                <w:webHidden/>
              </w:rPr>
              <w:tab/>
            </w:r>
            <w:r w:rsidR="006E3F5F" w:rsidRPr="006E3F5F">
              <w:rPr>
                <w:webHidden/>
              </w:rPr>
              <w:fldChar w:fldCharType="begin"/>
            </w:r>
            <w:r w:rsidR="006E3F5F" w:rsidRPr="006E3F5F">
              <w:rPr>
                <w:webHidden/>
              </w:rPr>
              <w:instrText xml:space="preserve"> PAGEREF _Toc230337253 \h </w:instrText>
            </w:r>
            <w:r w:rsidR="006E3F5F" w:rsidRPr="006E3F5F">
              <w:rPr>
                <w:webHidden/>
              </w:rPr>
            </w:r>
            <w:r w:rsidR="006E3F5F" w:rsidRPr="006E3F5F">
              <w:rPr>
                <w:webHidden/>
              </w:rPr>
              <w:fldChar w:fldCharType="separate"/>
            </w:r>
            <w:r w:rsidR="008D2CE2">
              <w:rPr>
                <w:webHidden/>
              </w:rPr>
              <w:t>1</w:t>
            </w:r>
            <w:r w:rsidR="006E3F5F" w:rsidRPr="006E3F5F">
              <w:rPr>
                <w:webHidden/>
              </w:rPr>
              <w:fldChar w:fldCharType="end"/>
            </w:r>
          </w:hyperlink>
        </w:p>
        <w:p w14:paraId="732D9EF8" w14:textId="3BBFE979" w:rsidR="006E3F5F" w:rsidRPr="006E3F5F" w:rsidRDefault="006E3F5F">
          <w:pPr>
            <w:pStyle w:val="TOC1"/>
            <w:rPr>
              <w:rFonts w:asciiTheme="minorHAnsi" w:eastAsiaTheme="minorEastAsia" w:hAnsiTheme="minorHAnsi" w:cstheme="minorBidi"/>
              <w:kern w:val="2"/>
              <w:sz w:val="24"/>
              <w:szCs w:val="24"/>
              <w:lang w:val="en-IN" w:eastAsia="en-IN"/>
              <w14:ligatures w14:val="standardContextual"/>
            </w:rPr>
          </w:pPr>
          <w:hyperlink w:anchor="_Toc230337254" w:history="1">
            <w:r w:rsidRPr="006E3F5F">
              <w:rPr>
                <w:rStyle w:val="Hyperlink"/>
              </w:rPr>
              <w:t>2. EU AI Act and High-Risk AI Systems</w:t>
            </w:r>
            <w:r w:rsidRPr="006E3F5F">
              <w:rPr>
                <w:webHidden/>
              </w:rPr>
              <w:tab/>
            </w:r>
            <w:r w:rsidRPr="006E3F5F">
              <w:rPr>
                <w:webHidden/>
              </w:rPr>
              <w:fldChar w:fldCharType="begin"/>
            </w:r>
            <w:r w:rsidRPr="006E3F5F">
              <w:rPr>
                <w:webHidden/>
              </w:rPr>
              <w:instrText xml:space="preserve"> PAGEREF _Toc230337254 \h </w:instrText>
            </w:r>
            <w:r w:rsidRPr="006E3F5F">
              <w:rPr>
                <w:webHidden/>
              </w:rPr>
            </w:r>
            <w:r w:rsidRPr="006E3F5F">
              <w:rPr>
                <w:webHidden/>
              </w:rPr>
              <w:fldChar w:fldCharType="separate"/>
            </w:r>
            <w:r w:rsidR="008D2CE2">
              <w:rPr>
                <w:webHidden/>
              </w:rPr>
              <w:t>1</w:t>
            </w:r>
            <w:r w:rsidRPr="006E3F5F">
              <w:rPr>
                <w:webHidden/>
              </w:rPr>
              <w:fldChar w:fldCharType="end"/>
            </w:r>
          </w:hyperlink>
        </w:p>
        <w:p w14:paraId="38388C07" w14:textId="79D303A3"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55" w:history="1">
            <w:r w:rsidRPr="006E3F5F">
              <w:rPr>
                <w:rStyle w:val="Hyperlink"/>
                <w:rFonts w:ascii="Arial" w:eastAsia="Arial" w:hAnsi="Arial" w:cs="Arial"/>
                <w:b/>
                <w:bCs/>
                <w:noProof/>
              </w:rPr>
              <w:t>2.1 Overview of the EU AI Act</w:t>
            </w:r>
            <w:r w:rsidRPr="006E3F5F">
              <w:rPr>
                <w:b/>
                <w:bCs/>
                <w:noProof/>
                <w:webHidden/>
              </w:rPr>
              <w:tab/>
            </w:r>
            <w:r w:rsidRPr="006E3F5F">
              <w:rPr>
                <w:b/>
                <w:bCs/>
                <w:noProof/>
                <w:webHidden/>
              </w:rPr>
              <w:fldChar w:fldCharType="begin"/>
            </w:r>
            <w:r w:rsidRPr="006E3F5F">
              <w:rPr>
                <w:b/>
                <w:bCs/>
                <w:noProof/>
                <w:webHidden/>
              </w:rPr>
              <w:instrText xml:space="preserve"> PAGEREF _Toc230337255 \h </w:instrText>
            </w:r>
            <w:r w:rsidRPr="006E3F5F">
              <w:rPr>
                <w:b/>
                <w:bCs/>
                <w:noProof/>
                <w:webHidden/>
              </w:rPr>
            </w:r>
            <w:r w:rsidRPr="006E3F5F">
              <w:rPr>
                <w:b/>
                <w:bCs/>
                <w:noProof/>
                <w:webHidden/>
              </w:rPr>
              <w:fldChar w:fldCharType="separate"/>
            </w:r>
            <w:r w:rsidR="008D2CE2">
              <w:rPr>
                <w:b/>
                <w:bCs/>
                <w:noProof/>
                <w:webHidden/>
              </w:rPr>
              <w:t>1</w:t>
            </w:r>
            <w:r w:rsidRPr="006E3F5F">
              <w:rPr>
                <w:b/>
                <w:bCs/>
                <w:noProof/>
                <w:webHidden/>
              </w:rPr>
              <w:fldChar w:fldCharType="end"/>
            </w:r>
          </w:hyperlink>
        </w:p>
        <w:p w14:paraId="6C60ACCD" w14:textId="648BF25D"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56" w:history="1">
            <w:r w:rsidRPr="006E3F5F">
              <w:rPr>
                <w:rStyle w:val="Hyperlink"/>
                <w:rFonts w:ascii="Arial" w:eastAsia="Arial" w:hAnsi="Arial" w:cs="Arial"/>
                <w:b/>
                <w:bCs/>
                <w:noProof/>
              </w:rPr>
              <w:t>2.2 High-Risk AI and Credit Scoring</w:t>
            </w:r>
            <w:r w:rsidRPr="006E3F5F">
              <w:rPr>
                <w:b/>
                <w:bCs/>
                <w:noProof/>
                <w:webHidden/>
              </w:rPr>
              <w:tab/>
            </w:r>
            <w:r w:rsidRPr="006E3F5F">
              <w:rPr>
                <w:b/>
                <w:bCs/>
                <w:noProof/>
                <w:webHidden/>
              </w:rPr>
              <w:fldChar w:fldCharType="begin"/>
            </w:r>
            <w:r w:rsidRPr="006E3F5F">
              <w:rPr>
                <w:b/>
                <w:bCs/>
                <w:noProof/>
                <w:webHidden/>
              </w:rPr>
              <w:instrText xml:space="preserve"> PAGEREF _Toc230337256 \h </w:instrText>
            </w:r>
            <w:r w:rsidRPr="006E3F5F">
              <w:rPr>
                <w:b/>
                <w:bCs/>
                <w:noProof/>
                <w:webHidden/>
              </w:rPr>
            </w:r>
            <w:r w:rsidRPr="006E3F5F">
              <w:rPr>
                <w:b/>
                <w:bCs/>
                <w:noProof/>
                <w:webHidden/>
              </w:rPr>
              <w:fldChar w:fldCharType="separate"/>
            </w:r>
            <w:r w:rsidR="008D2CE2">
              <w:rPr>
                <w:b/>
                <w:bCs/>
                <w:noProof/>
                <w:webHidden/>
              </w:rPr>
              <w:t>1</w:t>
            </w:r>
            <w:r w:rsidRPr="006E3F5F">
              <w:rPr>
                <w:b/>
                <w:bCs/>
                <w:noProof/>
                <w:webHidden/>
              </w:rPr>
              <w:fldChar w:fldCharType="end"/>
            </w:r>
          </w:hyperlink>
        </w:p>
        <w:p w14:paraId="53D22085" w14:textId="6539C1CC"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57" w:history="1">
            <w:r w:rsidRPr="006E3F5F">
              <w:rPr>
                <w:rStyle w:val="Hyperlink"/>
                <w:rFonts w:ascii="Arial" w:eastAsia="Arial" w:hAnsi="Arial" w:cs="Arial"/>
                <w:b/>
                <w:bCs/>
                <w:noProof/>
              </w:rPr>
              <w:t>2.3 Existing Compliance Frameworks and Their Limitations</w:t>
            </w:r>
            <w:r w:rsidRPr="006E3F5F">
              <w:rPr>
                <w:b/>
                <w:bCs/>
                <w:noProof/>
                <w:webHidden/>
              </w:rPr>
              <w:tab/>
            </w:r>
            <w:r w:rsidRPr="006E3F5F">
              <w:rPr>
                <w:b/>
                <w:bCs/>
                <w:noProof/>
                <w:webHidden/>
              </w:rPr>
              <w:fldChar w:fldCharType="begin"/>
            </w:r>
            <w:r w:rsidRPr="006E3F5F">
              <w:rPr>
                <w:b/>
                <w:bCs/>
                <w:noProof/>
                <w:webHidden/>
              </w:rPr>
              <w:instrText xml:space="preserve"> PAGEREF _Toc230337257 \h </w:instrText>
            </w:r>
            <w:r w:rsidRPr="006E3F5F">
              <w:rPr>
                <w:b/>
                <w:bCs/>
                <w:noProof/>
                <w:webHidden/>
              </w:rPr>
            </w:r>
            <w:r w:rsidRPr="006E3F5F">
              <w:rPr>
                <w:b/>
                <w:bCs/>
                <w:noProof/>
                <w:webHidden/>
              </w:rPr>
              <w:fldChar w:fldCharType="separate"/>
            </w:r>
            <w:r w:rsidR="008D2CE2">
              <w:rPr>
                <w:b/>
                <w:bCs/>
                <w:noProof/>
                <w:webHidden/>
              </w:rPr>
              <w:t>2</w:t>
            </w:r>
            <w:r w:rsidRPr="006E3F5F">
              <w:rPr>
                <w:b/>
                <w:bCs/>
                <w:noProof/>
                <w:webHidden/>
              </w:rPr>
              <w:fldChar w:fldCharType="end"/>
            </w:r>
          </w:hyperlink>
        </w:p>
        <w:p w14:paraId="3F366575" w14:textId="40A108CA" w:rsidR="006E3F5F" w:rsidRPr="006E3F5F" w:rsidRDefault="006E3F5F">
          <w:pPr>
            <w:pStyle w:val="TOC1"/>
            <w:rPr>
              <w:rFonts w:asciiTheme="minorHAnsi" w:eastAsiaTheme="minorEastAsia" w:hAnsiTheme="minorHAnsi" w:cstheme="minorBidi"/>
              <w:kern w:val="2"/>
              <w:sz w:val="24"/>
              <w:szCs w:val="24"/>
              <w:lang w:val="en-IN" w:eastAsia="en-IN"/>
              <w14:ligatures w14:val="standardContextual"/>
            </w:rPr>
          </w:pPr>
          <w:hyperlink w:anchor="_Toc230337258" w:history="1">
            <w:r w:rsidRPr="006E3F5F">
              <w:rPr>
                <w:rStyle w:val="Hyperlink"/>
              </w:rPr>
              <w:t>3. Fundamental Rights Impact Assessment</w:t>
            </w:r>
            <w:r w:rsidRPr="006E3F5F">
              <w:rPr>
                <w:webHidden/>
              </w:rPr>
              <w:tab/>
            </w:r>
            <w:r w:rsidRPr="006E3F5F">
              <w:rPr>
                <w:webHidden/>
              </w:rPr>
              <w:fldChar w:fldCharType="begin"/>
            </w:r>
            <w:r w:rsidRPr="006E3F5F">
              <w:rPr>
                <w:webHidden/>
              </w:rPr>
              <w:instrText xml:space="preserve"> PAGEREF _Toc230337258 \h </w:instrText>
            </w:r>
            <w:r w:rsidRPr="006E3F5F">
              <w:rPr>
                <w:webHidden/>
              </w:rPr>
            </w:r>
            <w:r w:rsidRPr="006E3F5F">
              <w:rPr>
                <w:webHidden/>
              </w:rPr>
              <w:fldChar w:fldCharType="separate"/>
            </w:r>
            <w:r w:rsidR="008D2CE2">
              <w:rPr>
                <w:webHidden/>
              </w:rPr>
              <w:t>2</w:t>
            </w:r>
            <w:r w:rsidRPr="006E3F5F">
              <w:rPr>
                <w:webHidden/>
              </w:rPr>
              <w:fldChar w:fldCharType="end"/>
            </w:r>
          </w:hyperlink>
        </w:p>
        <w:p w14:paraId="24DF1CDC" w14:textId="72FBDE9B"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59" w:history="1">
            <w:r w:rsidRPr="006E3F5F">
              <w:rPr>
                <w:rStyle w:val="Hyperlink"/>
                <w:rFonts w:ascii="Arial" w:eastAsia="Arial" w:hAnsi="Arial" w:cs="Arial"/>
                <w:b/>
                <w:bCs/>
                <w:noProof/>
              </w:rPr>
              <w:t>3.1 Definition and Legal Background</w:t>
            </w:r>
            <w:r w:rsidRPr="006E3F5F">
              <w:rPr>
                <w:b/>
                <w:bCs/>
                <w:noProof/>
                <w:webHidden/>
              </w:rPr>
              <w:tab/>
            </w:r>
            <w:r w:rsidRPr="006E3F5F">
              <w:rPr>
                <w:b/>
                <w:bCs/>
                <w:noProof/>
                <w:webHidden/>
              </w:rPr>
              <w:fldChar w:fldCharType="begin"/>
            </w:r>
            <w:r w:rsidRPr="006E3F5F">
              <w:rPr>
                <w:b/>
                <w:bCs/>
                <w:noProof/>
                <w:webHidden/>
              </w:rPr>
              <w:instrText xml:space="preserve"> PAGEREF _Toc230337259 \h </w:instrText>
            </w:r>
            <w:r w:rsidRPr="006E3F5F">
              <w:rPr>
                <w:b/>
                <w:bCs/>
                <w:noProof/>
                <w:webHidden/>
              </w:rPr>
            </w:r>
            <w:r w:rsidRPr="006E3F5F">
              <w:rPr>
                <w:b/>
                <w:bCs/>
                <w:noProof/>
                <w:webHidden/>
              </w:rPr>
              <w:fldChar w:fldCharType="separate"/>
            </w:r>
            <w:r w:rsidR="008D2CE2">
              <w:rPr>
                <w:b/>
                <w:bCs/>
                <w:noProof/>
                <w:webHidden/>
              </w:rPr>
              <w:t>2</w:t>
            </w:r>
            <w:r w:rsidRPr="006E3F5F">
              <w:rPr>
                <w:b/>
                <w:bCs/>
                <w:noProof/>
                <w:webHidden/>
              </w:rPr>
              <w:fldChar w:fldCharType="end"/>
            </w:r>
          </w:hyperlink>
        </w:p>
        <w:p w14:paraId="1E62F838" w14:textId="79EAD46D"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60" w:history="1">
            <w:r w:rsidRPr="006E3F5F">
              <w:rPr>
                <w:rStyle w:val="Hyperlink"/>
                <w:rFonts w:ascii="Arial" w:eastAsia="Arial" w:hAnsi="Arial" w:cs="Arial"/>
                <w:b/>
                <w:bCs/>
                <w:noProof/>
              </w:rPr>
              <w:t>3.2 Automation and Ontology-Based Approaches</w:t>
            </w:r>
            <w:r w:rsidRPr="006E3F5F">
              <w:rPr>
                <w:b/>
                <w:bCs/>
                <w:noProof/>
                <w:webHidden/>
              </w:rPr>
              <w:tab/>
            </w:r>
            <w:r w:rsidRPr="006E3F5F">
              <w:rPr>
                <w:b/>
                <w:bCs/>
                <w:noProof/>
                <w:webHidden/>
              </w:rPr>
              <w:fldChar w:fldCharType="begin"/>
            </w:r>
            <w:r w:rsidRPr="006E3F5F">
              <w:rPr>
                <w:b/>
                <w:bCs/>
                <w:noProof/>
                <w:webHidden/>
              </w:rPr>
              <w:instrText xml:space="preserve"> PAGEREF _Toc230337260 \h </w:instrText>
            </w:r>
            <w:r w:rsidRPr="006E3F5F">
              <w:rPr>
                <w:b/>
                <w:bCs/>
                <w:noProof/>
                <w:webHidden/>
              </w:rPr>
            </w:r>
            <w:r w:rsidRPr="006E3F5F">
              <w:rPr>
                <w:b/>
                <w:bCs/>
                <w:noProof/>
                <w:webHidden/>
              </w:rPr>
              <w:fldChar w:fldCharType="separate"/>
            </w:r>
            <w:r w:rsidR="008D2CE2">
              <w:rPr>
                <w:b/>
                <w:bCs/>
                <w:noProof/>
                <w:webHidden/>
              </w:rPr>
              <w:t>2</w:t>
            </w:r>
            <w:r w:rsidRPr="006E3F5F">
              <w:rPr>
                <w:b/>
                <w:bCs/>
                <w:noProof/>
                <w:webHidden/>
              </w:rPr>
              <w:fldChar w:fldCharType="end"/>
            </w:r>
          </w:hyperlink>
        </w:p>
        <w:p w14:paraId="55D93D15" w14:textId="38038EB0"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61" w:history="1">
            <w:r w:rsidRPr="006E3F5F">
              <w:rPr>
                <w:rStyle w:val="Hyperlink"/>
                <w:rFonts w:ascii="Arial" w:eastAsia="Arial" w:hAnsi="Arial" w:cs="Arial"/>
                <w:b/>
                <w:bCs/>
                <w:noProof/>
              </w:rPr>
              <w:t>3.3 Limitations of Current FRIA Approaches</w:t>
            </w:r>
            <w:r w:rsidRPr="006E3F5F">
              <w:rPr>
                <w:b/>
                <w:bCs/>
                <w:noProof/>
                <w:webHidden/>
              </w:rPr>
              <w:tab/>
            </w:r>
            <w:r w:rsidRPr="006E3F5F">
              <w:rPr>
                <w:b/>
                <w:bCs/>
                <w:noProof/>
                <w:webHidden/>
              </w:rPr>
              <w:fldChar w:fldCharType="begin"/>
            </w:r>
            <w:r w:rsidRPr="006E3F5F">
              <w:rPr>
                <w:b/>
                <w:bCs/>
                <w:noProof/>
                <w:webHidden/>
              </w:rPr>
              <w:instrText xml:space="preserve"> PAGEREF _Toc230337261 \h </w:instrText>
            </w:r>
            <w:r w:rsidRPr="006E3F5F">
              <w:rPr>
                <w:b/>
                <w:bCs/>
                <w:noProof/>
                <w:webHidden/>
              </w:rPr>
            </w:r>
            <w:r w:rsidRPr="006E3F5F">
              <w:rPr>
                <w:b/>
                <w:bCs/>
                <w:noProof/>
                <w:webHidden/>
              </w:rPr>
              <w:fldChar w:fldCharType="separate"/>
            </w:r>
            <w:r w:rsidR="008D2CE2">
              <w:rPr>
                <w:b/>
                <w:bCs/>
                <w:noProof/>
                <w:webHidden/>
              </w:rPr>
              <w:t>2</w:t>
            </w:r>
            <w:r w:rsidRPr="006E3F5F">
              <w:rPr>
                <w:b/>
                <w:bCs/>
                <w:noProof/>
                <w:webHidden/>
              </w:rPr>
              <w:fldChar w:fldCharType="end"/>
            </w:r>
          </w:hyperlink>
        </w:p>
        <w:p w14:paraId="0A092613" w14:textId="0B715D7A" w:rsidR="006E3F5F" w:rsidRPr="006E3F5F" w:rsidRDefault="006E3F5F">
          <w:pPr>
            <w:pStyle w:val="TOC1"/>
            <w:rPr>
              <w:rFonts w:asciiTheme="minorHAnsi" w:eastAsiaTheme="minorEastAsia" w:hAnsiTheme="minorHAnsi" w:cstheme="minorBidi"/>
              <w:kern w:val="2"/>
              <w:sz w:val="24"/>
              <w:szCs w:val="24"/>
              <w:lang w:val="en-IN" w:eastAsia="en-IN"/>
              <w14:ligatures w14:val="standardContextual"/>
            </w:rPr>
          </w:pPr>
          <w:hyperlink w:anchor="_Toc230337262" w:history="1">
            <w:r w:rsidRPr="006E3F5F">
              <w:rPr>
                <w:rStyle w:val="Hyperlink"/>
              </w:rPr>
              <w:t>4. AI Cybersecurity Threat Modelling</w:t>
            </w:r>
            <w:r w:rsidRPr="006E3F5F">
              <w:rPr>
                <w:webHidden/>
              </w:rPr>
              <w:tab/>
            </w:r>
            <w:r w:rsidRPr="006E3F5F">
              <w:rPr>
                <w:webHidden/>
              </w:rPr>
              <w:fldChar w:fldCharType="begin"/>
            </w:r>
            <w:r w:rsidRPr="006E3F5F">
              <w:rPr>
                <w:webHidden/>
              </w:rPr>
              <w:instrText xml:space="preserve"> PAGEREF _Toc230337262 \h </w:instrText>
            </w:r>
            <w:r w:rsidRPr="006E3F5F">
              <w:rPr>
                <w:webHidden/>
              </w:rPr>
            </w:r>
            <w:r w:rsidRPr="006E3F5F">
              <w:rPr>
                <w:webHidden/>
              </w:rPr>
              <w:fldChar w:fldCharType="separate"/>
            </w:r>
            <w:r w:rsidR="008D2CE2">
              <w:rPr>
                <w:webHidden/>
              </w:rPr>
              <w:t>3</w:t>
            </w:r>
            <w:r w:rsidRPr="006E3F5F">
              <w:rPr>
                <w:webHidden/>
              </w:rPr>
              <w:fldChar w:fldCharType="end"/>
            </w:r>
          </w:hyperlink>
        </w:p>
        <w:p w14:paraId="1C065968" w14:textId="1EA0518F"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63" w:history="1">
            <w:r w:rsidRPr="006E3F5F">
              <w:rPr>
                <w:rStyle w:val="Hyperlink"/>
                <w:rFonts w:ascii="Arial" w:eastAsia="Arial" w:hAnsi="Arial" w:cs="Arial"/>
                <w:b/>
                <w:bCs/>
                <w:noProof/>
              </w:rPr>
              <w:t>4.1 STRIDE and STRIDE-AI</w:t>
            </w:r>
            <w:r w:rsidRPr="006E3F5F">
              <w:rPr>
                <w:b/>
                <w:bCs/>
                <w:noProof/>
                <w:webHidden/>
              </w:rPr>
              <w:tab/>
            </w:r>
            <w:r w:rsidRPr="006E3F5F">
              <w:rPr>
                <w:b/>
                <w:bCs/>
                <w:noProof/>
                <w:webHidden/>
              </w:rPr>
              <w:fldChar w:fldCharType="begin"/>
            </w:r>
            <w:r w:rsidRPr="006E3F5F">
              <w:rPr>
                <w:b/>
                <w:bCs/>
                <w:noProof/>
                <w:webHidden/>
              </w:rPr>
              <w:instrText xml:space="preserve"> PAGEREF _Toc230337263 \h </w:instrText>
            </w:r>
            <w:r w:rsidRPr="006E3F5F">
              <w:rPr>
                <w:b/>
                <w:bCs/>
                <w:noProof/>
                <w:webHidden/>
              </w:rPr>
            </w:r>
            <w:r w:rsidRPr="006E3F5F">
              <w:rPr>
                <w:b/>
                <w:bCs/>
                <w:noProof/>
                <w:webHidden/>
              </w:rPr>
              <w:fldChar w:fldCharType="separate"/>
            </w:r>
            <w:r w:rsidR="008D2CE2">
              <w:rPr>
                <w:b/>
                <w:bCs/>
                <w:noProof/>
                <w:webHidden/>
              </w:rPr>
              <w:t>3</w:t>
            </w:r>
            <w:r w:rsidRPr="006E3F5F">
              <w:rPr>
                <w:b/>
                <w:bCs/>
                <w:noProof/>
                <w:webHidden/>
              </w:rPr>
              <w:fldChar w:fldCharType="end"/>
            </w:r>
          </w:hyperlink>
        </w:p>
        <w:p w14:paraId="3AA0AE98" w14:textId="7AEE2550"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64" w:history="1">
            <w:r w:rsidRPr="006E3F5F">
              <w:rPr>
                <w:rStyle w:val="Hyperlink"/>
                <w:rFonts w:ascii="Arial" w:eastAsia="Arial" w:hAnsi="Arial" w:cs="Arial"/>
                <w:b/>
                <w:bCs/>
                <w:noProof/>
              </w:rPr>
              <w:t>4.2 MITRE ATLAS</w:t>
            </w:r>
            <w:r w:rsidRPr="006E3F5F">
              <w:rPr>
                <w:b/>
                <w:bCs/>
                <w:noProof/>
                <w:webHidden/>
              </w:rPr>
              <w:tab/>
            </w:r>
            <w:r w:rsidRPr="006E3F5F">
              <w:rPr>
                <w:b/>
                <w:bCs/>
                <w:noProof/>
                <w:webHidden/>
              </w:rPr>
              <w:fldChar w:fldCharType="begin"/>
            </w:r>
            <w:r w:rsidRPr="006E3F5F">
              <w:rPr>
                <w:b/>
                <w:bCs/>
                <w:noProof/>
                <w:webHidden/>
              </w:rPr>
              <w:instrText xml:space="preserve"> PAGEREF _Toc230337264 \h </w:instrText>
            </w:r>
            <w:r w:rsidRPr="006E3F5F">
              <w:rPr>
                <w:b/>
                <w:bCs/>
                <w:noProof/>
                <w:webHidden/>
              </w:rPr>
            </w:r>
            <w:r w:rsidRPr="006E3F5F">
              <w:rPr>
                <w:b/>
                <w:bCs/>
                <w:noProof/>
                <w:webHidden/>
              </w:rPr>
              <w:fldChar w:fldCharType="separate"/>
            </w:r>
            <w:r w:rsidR="008D2CE2">
              <w:rPr>
                <w:b/>
                <w:bCs/>
                <w:noProof/>
                <w:webHidden/>
              </w:rPr>
              <w:t>3</w:t>
            </w:r>
            <w:r w:rsidRPr="006E3F5F">
              <w:rPr>
                <w:b/>
                <w:bCs/>
                <w:noProof/>
                <w:webHidden/>
              </w:rPr>
              <w:fldChar w:fldCharType="end"/>
            </w:r>
          </w:hyperlink>
        </w:p>
        <w:p w14:paraId="4156BF75" w14:textId="2B62BF67"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65" w:history="1">
            <w:r w:rsidRPr="006E3F5F">
              <w:rPr>
                <w:rStyle w:val="Hyperlink"/>
                <w:rFonts w:ascii="Arial" w:eastAsia="Arial" w:hAnsi="Arial" w:cs="Arial"/>
                <w:b/>
                <w:bCs/>
                <w:noProof/>
              </w:rPr>
              <w:t>4.3 ENISA AI Cybersecurity Framework</w:t>
            </w:r>
            <w:r w:rsidRPr="006E3F5F">
              <w:rPr>
                <w:b/>
                <w:bCs/>
                <w:noProof/>
                <w:webHidden/>
              </w:rPr>
              <w:tab/>
            </w:r>
            <w:r w:rsidRPr="006E3F5F">
              <w:rPr>
                <w:b/>
                <w:bCs/>
                <w:noProof/>
                <w:webHidden/>
              </w:rPr>
              <w:fldChar w:fldCharType="begin"/>
            </w:r>
            <w:r w:rsidRPr="006E3F5F">
              <w:rPr>
                <w:b/>
                <w:bCs/>
                <w:noProof/>
                <w:webHidden/>
              </w:rPr>
              <w:instrText xml:space="preserve"> PAGEREF _Toc230337265 \h </w:instrText>
            </w:r>
            <w:r w:rsidRPr="006E3F5F">
              <w:rPr>
                <w:b/>
                <w:bCs/>
                <w:noProof/>
                <w:webHidden/>
              </w:rPr>
            </w:r>
            <w:r w:rsidRPr="006E3F5F">
              <w:rPr>
                <w:b/>
                <w:bCs/>
                <w:noProof/>
                <w:webHidden/>
              </w:rPr>
              <w:fldChar w:fldCharType="separate"/>
            </w:r>
            <w:r w:rsidR="008D2CE2">
              <w:rPr>
                <w:b/>
                <w:bCs/>
                <w:noProof/>
                <w:webHidden/>
              </w:rPr>
              <w:t>3</w:t>
            </w:r>
            <w:r w:rsidRPr="006E3F5F">
              <w:rPr>
                <w:b/>
                <w:bCs/>
                <w:noProof/>
                <w:webHidden/>
              </w:rPr>
              <w:fldChar w:fldCharType="end"/>
            </w:r>
          </w:hyperlink>
        </w:p>
        <w:p w14:paraId="37FBB4DC" w14:textId="387FA65D"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66" w:history="1">
            <w:r w:rsidRPr="006E3F5F">
              <w:rPr>
                <w:rStyle w:val="Hyperlink"/>
                <w:rFonts w:ascii="Arial" w:eastAsia="Arial" w:hAnsi="Arial" w:cs="Arial"/>
                <w:b/>
                <w:bCs/>
                <w:noProof/>
              </w:rPr>
              <w:t>4.4 Adversarial ML Threats and Toolkits</w:t>
            </w:r>
            <w:r w:rsidRPr="006E3F5F">
              <w:rPr>
                <w:b/>
                <w:bCs/>
                <w:noProof/>
                <w:webHidden/>
              </w:rPr>
              <w:tab/>
            </w:r>
            <w:r w:rsidRPr="006E3F5F">
              <w:rPr>
                <w:b/>
                <w:bCs/>
                <w:noProof/>
                <w:webHidden/>
              </w:rPr>
              <w:fldChar w:fldCharType="begin"/>
            </w:r>
            <w:r w:rsidRPr="006E3F5F">
              <w:rPr>
                <w:b/>
                <w:bCs/>
                <w:noProof/>
                <w:webHidden/>
              </w:rPr>
              <w:instrText xml:space="preserve"> PAGEREF _Toc230337266 \h </w:instrText>
            </w:r>
            <w:r w:rsidRPr="006E3F5F">
              <w:rPr>
                <w:b/>
                <w:bCs/>
                <w:noProof/>
                <w:webHidden/>
              </w:rPr>
            </w:r>
            <w:r w:rsidRPr="006E3F5F">
              <w:rPr>
                <w:b/>
                <w:bCs/>
                <w:noProof/>
                <w:webHidden/>
              </w:rPr>
              <w:fldChar w:fldCharType="separate"/>
            </w:r>
            <w:r w:rsidR="008D2CE2">
              <w:rPr>
                <w:b/>
                <w:bCs/>
                <w:noProof/>
                <w:webHidden/>
              </w:rPr>
              <w:t>3</w:t>
            </w:r>
            <w:r w:rsidRPr="006E3F5F">
              <w:rPr>
                <w:b/>
                <w:bCs/>
                <w:noProof/>
                <w:webHidden/>
              </w:rPr>
              <w:fldChar w:fldCharType="end"/>
            </w:r>
          </w:hyperlink>
        </w:p>
        <w:p w14:paraId="4E562F17" w14:textId="2C33C11E" w:rsidR="006E3F5F" w:rsidRPr="006E3F5F" w:rsidRDefault="006E3F5F">
          <w:pPr>
            <w:pStyle w:val="TOC1"/>
            <w:rPr>
              <w:rFonts w:asciiTheme="minorHAnsi" w:eastAsiaTheme="minorEastAsia" w:hAnsiTheme="minorHAnsi" w:cstheme="minorBidi"/>
              <w:kern w:val="2"/>
              <w:sz w:val="24"/>
              <w:szCs w:val="24"/>
              <w:lang w:val="en-IN" w:eastAsia="en-IN"/>
              <w14:ligatures w14:val="standardContextual"/>
            </w:rPr>
          </w:pPr>
          <w:hyperlink w:anchor="_Toc230337267" w:history="1">
            <w:r w:rsidRPr="006E3F5F">
              <w:rPr>
                <w:rStyle w:val="Hyperlink"/>
              </w:rPr>
              <w:t>5. Credit Scoring AI: Risks and Regulation</w:t>
            </w:r>
            <w:r w:rsidRPr="006E3F5F">
              <w:rPr>
                <w:webHidden/>
              </w:rPr>
              <w:tab/>
            </w:r>
            <w:r w:rsidRPr="006E3F5F">
              <w:rPr>
                <w:webHidden/>
              </w:rPr>
              <w:fldChar w:fldCharType="begin"/>
            </w:r>
            <w:r w:rsidRPr="006E3F5F">
              <w:rPr>
                <w:webHidden/>
              </w:rPr>
              <w:instrText xml:space="preserve"> PAGEREF _Toc230337267 \h </w:instrText>
            </w:r>
            <w:r w:rsidRPr="006E3F5F">
              <w:rPr>
                <w:webHidden/>
              </w:rPr>
            </w:r>
            <w:r w:rsidRPr="006E3F5F">
              <w:rPr>
                <w:webHidden/>
              </w:rPr>
              <w:fldChar w:fldCharType="separate"/>
            </w:r>
            <w:r w:rsidR="008D2CE2">
              <w:rPr>
                <w:webHidden/>
              </w:rPr>
              <w:t>3</w:t>
            </w:r>
            <w:r w:rsidRPr="006E3F5F">
              <w:rPr>
                <w:webHidden/>
              </w:rPr>
              <w:fldChar w:fldCharType="end"/>
            </w:r>
          </w:hyperlink>
        </w:p>
        <w:p w14:paraId="5B597705" w14:textId="588376E9"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68" w:history="1">
            <w:r w:rsidRPr="006E3F5F">
              <w:rPr>
                <w:rStyle w:val="Hyperlink"/>
                <w:rFonts w:ascii="Arial" w:eastAsia="Arial" w:hAnsi="Arial" w:cs="Arial"/>
                <w:b/>
                <w:bCs/>
                <w:noProof/>
              </w:rPr>
              <w:t>5.1 AI in Credit Scoring</w:t>
            </w:r>
            <w:r w:rsidRPr="006E3F5F">
              <w:rPr>
                <w:b/>
                <w:bCs/>
                <w:noProof/>
                <w:webHidden/>
              </w:rPr>
              <w:tab/>
            </w:r>
            <w:r w:rsidRPr="006E3F5F">
              <w:rPr>
                <w:b/>
                <w:bCs/>
                <w:noProof/>
                <w:webHidden/>
              </w:rPr>
              <w:fldChar w:fldCharType="begin"/>
            </w:r>
            <w:r w:rsidRPr="006E3F5F">
              <w:rPr>
                <w:b/>
                <w:bCs/>
                <w:noProof/>
                <w:webHidden/>
              </w:rPr>
              <w:instrText xml:space="preserve"> PAGEREF _Toc230337268 \h </w:instrText>
            </w:r>
            <w:r w:rsidRPr="006E3F5F">
              <w:rPr>
                <w:b/>
                <w:bCs/>
                <w:noProof/>
                <w:webHidden/>
              </w:rPr>
            </w:r>
            <w:r w:rsidRPr="006E3F5F">
              <w:rPr>
                <w:b/>
                <w:bCs/>
                <w:noProof/>
                <w:webHidden/>
              </w:rPr>
              <w:fldChar w:fldCharType="separate"/>
            </w:r>
            <w:r w:rsidR="008D2CE2">
              <w:rPr>
                <w:b/>
                <w:bCs/>
                <w:noProof/>
                <w:webHidden/>
              </w:rPr>
              <w:t>3</w:t>
            </w:r>
            <w:r w:rsidRPr="006E3F5F">
              <w:rPr>
                <w:b/>
                <w:bCs/>
                <w:noProof/>
                <w:webHidden/>
              </w:rPr>
              <w:fldChar w:fldCharType="end"/>
            </w:r>
          </w:hyperlink>
        </w:p>
        <w:p w14:paraId="1237E9B7" w14:textId="69506876"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69" w:history="1">
            <w:r w:rsidRPr="006E3F5F">
              <w:rPr>
                <w:rStyle w:val="Hyperlink"/>
                <w:rFonts w:ascii="Arial" w:eastAsia="Arial" w:hAnsi="Arial" w:cs="Arial"/>
                <w:b/>
                <w:bCs/>
                <w:noProof/>
              </w:rPr>
              <w:t>5.2 Bias and Fairness in Credit AI</w:t>
            </w:r>
            <w:r w:rsidRPr="006E3F5F">
              <w:rPr>
                <w:b/>
                <w:bCs/>
                <w:noProof/>
                <w:webHidden/>
              </w:rPr>
              <w:tab/>
            </w:r>
            <w:r w:rsidRPr="006E3F5F">
              <w:rPr>
                <w:b/>
                <w:bCs/>
                <w:noProof/>
                <w:webHidden/>
              </w:rPr>
              <w:fldChar w:fldCharType="begin"/>
            </w:r>
            <w:r w:rsidRPr="006E3F5F">
              <w:rPr>
                <w:b/>
                <w:bCs/>
                <w:noProof/>
                <w:webHidden/>
              </w:rPr>
              <w:instrText xml:space="preserve"> PAGEREF _Toc230337269 \h </w:instrText>
            </w:r>
            <w:r w:rsidRPr="006E3F5F">
              <w:rPr>
                <w:b/>
                <w:bCs/>
                <w:noProof/>
                <w:webHidden/>
              </w:rPr>
            </w:r>
            <w:r w:rsidRPr="006E3F5F">
              <w:rPr>
                <w:b/>
                <w:bCs/>
                <w:noProof/>
                <w:webHidden/>
              </w:rPr>
              <w:fldChar w:fldCharType="separate"/>
            </w:r>
            <w:r w:rsidR="008D2CE2">
              <w:rPr>
                <w:b/>
                <w:bCs/>
                <w:noProof/>
                <w:webHidden/>
              </w:rPr>
              <w:t>4</w:t>
            </w:r>
            <w:r w:rsidRPr="006E3F5F">
              <w:rPr>
                <w:b/>
                <w:bCs/>
                <w:noProof/>
                <w:webHidden/>
              </w:rPr>
              <w:fldChar w:fldCharType="end"/>
            </w:r>
          </w:hyperlink>
        </w:p>
        <w:p w14:paraId="060DBE5E" w14:textId="7286D945"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70" w:history="1">
            <w:r w:rsidRPr="006E3F5F">
              <w:rPr>
                <w:rStyle w:val="Hyperlink"/>
                <w:rFonts w:ascii="Arial" w:eastAsia="Arial" w:hAnsi="Arial" w:cs="Arial"/>
                <w:b/>
                <w:bCs/>
                <w:noProof/>
              </w:rPr>
              <w:t>5.3 Regulatory Context</w:t>
            </w:r>
            <w:r w:rsidRPr="006E3F5F">
              <w:rPr>
                <w:b/>
                <w:bCs/>
                <w:noProof/>
                <w:webHidden/>
              </w:rPr>
              <w:tab/>
            </w:r>
            <w:r w:rsidRPr="006E3F5F">
              <w:rPr>
                <w:b/>
                <w:bCs/>
                <w:noProof/>
                <w:webHidden/>
              </w:rPr>
              <w:fldChar w:fldCharType="begin"/>
            </w:r>
            <w:r w:rsidRPr="006E3F5F">
              <w:rPr>
                <w:b/>
                <w:bCs/>
                <w:noProof/>
                <w:webHidden/>
              </w:rPr>
              <w:instrText xml:space="preserve"> PAGEREF _Toc230337270 \h </w:instrText>
            </w:r>
            <w:r w:rsidRPr="006E3F5F">
              <w:rPr>
                <w:b/>
                <w:bCs/>
                <w:noProof/>
                <w:webHidden/>
              </w:rPr>
            </w:r>
            <w:r w:rsidRPr="006E3F5F">
              <w:rPr>
                <w:b/>
                <w:bCs/>
                <w:noProof/>
                <w:webHidden/>
              </w:rPr>
              <w:fldChar w:fldCharType="separate"/>
            </w:r>
            <w:r w:rsidR="008D2CE2">
              <w:rPr>
                <w:b/>
                <w:bCs/>
                <w:noProof/>
                <w:webHidden/>
              </w:rPr>
              <w:t>4</w:t>
            </w:r>
            <w:r w:rsidRPr="006E3F5F">
              <w:rPr>
                <w:b/>
                <w:bCs/>
                <w:noProof/>
                <w:webHidden/>
              </w:rPr>
              <w:fldChar w:fldCharType="end"/>
            </w:r>
          </w:hyperlink>
        </w:p>
        <w:p w14:paraId="584CC80E" w14:textId="6A5BFFED" w:rsidR="006E3F5F" w:rsidRPr="006E3F5F" w:rsidRDefault="006E3F5F">
          <w:pPr>
            <w:pStyle w:val="TOC1"/>
            <w:rPr>
              <w:rFonts w:asciiTheme="minorHAnsi" w:eastAsiaTheme="minorEastAsia" w:hAnsiTheme="minorHAnsi" w:cstheme="minorBidi"/>
              <w:kern w:val="2"/>
              <w:sz w:val="24"/>
              <w:szCs w:val="24"/>
              <w:lang w:val="en-IN" w:eastAsia="en-IN"/>
              <w14:ligatures w14:val="standardContextual"/>
            </w:rPr>
          </w:pPr>
          <w:hyperlink w:anchor="_Toc230337271" w:history="1">
            <w:r w:rsidRPr="006E3F5F">
              <w:rPr>
                <w:rStyle w:val="Hyperlink"/>
              </w:rPr>
              <w:t>6. Knowledge Graphs for Compliance Automation</w:t>
            </w:r>
            <w:r w:rsidRPr="006E3F5F">
              <w:rPr>
                <w:webHidden/>
              </w:rPr>
              <w:tab/>
            </w:r>
            <w:r w:rsidRPr="006E3F5F">
              <w:rPr>
                <w:webHidden/>
              </w:rPr>
              <w:fldChar w:fldCharType="begin"/>
            </w:r>
            <w:r w:rsidRPr="006E3F5F">
              <w:rPr>
                <w:webHidden/>
              </w:rPr>
              <w:instrText xml:space="preserve"> PAGEREF _Toc230337271 \h </w:instrText>
            </w:r>
            <w:r w:rsidRPr="006E3F5F">
              <w:rPr>
                <w:webHidden/>
              </w:rPr>
            </w:r>
            <w:r w:rsidRPr="006E3F5F">
              <w:rPr>
                <w:webHidden/>
              </w:rPr>
              <w:fldChar w:fldCharType="separate"/>
            </w:r>
            <w:r w:rsidR="008D2CE2">
              <w:rPr>
                <w:webHidden/>
              </w:rPr>
              <w:t>4</w:t>
            </w:r>
            <w:r w:rsidRPr="006E3F5F">
              <w:rPr>
                <w:webHidden/>
              </w:rPr>
              <w:fldChar w:fldCharType="end"/>
            </w:r>
          </w:hyperlink>
        </w:p>
        <w:p w14:paraId="14A3ABDD" w14:textId="2EA21A39"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72" w:history="1">
            <w:r w:rsidRPr="006E3F5F">
              <w:rPr>
                <w:rStyle w:val="Hyperlink"/>
                <w:rFonts w:ascii="Arial" w:eastAsia="Arial" w:hAnsi="Arial" w:cs="Arial"/>
                <w:b/>
                <w:bCs/>
                <w:noProof/>
              </w:rPr>
              <w:t>6.1 Legal Knowledge Graphs</w:t>
            </w:r>
            <w:r w:rsidRPr="006E3F5F">
              <w:rPr>
                <w:b/>
                <w:bCs/>
                <w:noProof/>
                <w:webHidden/>
              </w:rPr>
              <w:tab/>
            </w:r>
            <w:r w:rsidRPr="006E3F5F">
              <w:rPr>
                <w:b/>
                <w:bCs/>
                <w:noProof/>
                <w:webHidden/>
              </w:rPr>
              <w:fldChar w:fldCharType="begin"/>
            </w:r>
            <w:r w:rsidRPr="006E3F5F">
              <w:rPr>
                <w:b/>
                <w:bCs/>
                <w:noProof/>
                <w:webHidden/>
              </w:rPr>
              <w:instrText xml:space="preserve"> PAGEREF _Toc230337272 \h </w:instrText>
            </w:r>
            <w:r w:rsidRPr="006E3F5F">
              <w:rPr>
                <w:b/>
                <w:bCs/>
                <w:noProof/>
                <w:webHidden/>
              </w:rPr>
            </w:r>
            <w:r w:rsidRPr="006E3F5F">
              <w:rPr>
                <w:b/>
                <w:bCs/>
                <w:noProof/>
                <w:webHidden/>
              </w:rPr>
              <w:fldChar w:fldCharType="separate"/>
            </w:r>
            <w:r w:rsidR="008D2CE2">
              <w:rPr>
                <w:b/>
                <w:bCs/>
                <w:noProof/>
                <w:webHidden/>
              </w:rPr>
              <w:t>4</w:t>
            </w:r>
            <w:r w:rsidRPr="006E3F5F">
              <w:rPr>
                <w:b/>
                <w:bCs/>
                <w:noProof/>
                <w:webHidden/>
              </w:rPr>
              <w:fldChar w:fldCharType="end"/>
            </w:r>
          </w:hyperlink>
        </w:p>
        <w:p w14:paraId="6604EA8A" w14:textId="71E86A53"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73" w:history="1">
            <w:r w:rsidRPr="006E3F5F">
              <w:rPr>
                <w:rStyle w:val="Hyperlink"/>
                <w:rFonts w:ascii="Arial" w:eastAsia="Arial" w:hAnsi="Arial" w:cs="Arial"/>
                <w:b/>
                <w:bCs/>
                <w:noProof/>
              </w:rPr>
              <w:t>6.2 W3C Data Privacy Vocabulary</w:t>
            </w:r>
            <w:r w:rsidRPr="006E3F5F">
              <w:rPr>
                <w:b/>
                <w:bCs/>
                <w:noProof/>
                <w:webHidden/>
              </w:rPr>
              <w:tab/>
            </w:r>
            <w:r w:rsidRPr="006E3F5F">
              <w:rPr>
                <w:b/>
                <w:bCs/>
                <w:noProof/>
                <w:webHidden/>
              </w:rPr>
              <w:fldChar w:fldCharType="begin"/>
            </w:r>
            <w:r w:rsidRPr="006E3F5F">
              <w:rPr>
                <w:b/>
                <w:bCs/>
                <w:noProof/>
                <w:webHidden/>
              </w:rPr>
              <w:instrText xml:space="preserve"> PAGEREF _Toc230337273 \h </w:instrText>
            </w:r>
            <w:r w:rsidRPr="006E3F5F">
              <w:rPr>
                <w:b/>
                <w:bCs/>
                <w:noProof/>
                <w:webHidden/>
              </w:rPr>
            </w:r>
            <w:r w:rsidRPr="006E3F5F">
              <w:rPr>
                <w:b/>
                <w:bCs/>
                <w:noProof/>
                <w:webHidden/>
              </w:rPr>
              <w:fldChar w:fldCharType="separate"/>
            </w:r>
            <w:r w:rsidR="008D2CE2">
              <w:rPr>
                <w:b/>
                <w:bCs/>
                <w:noProof/>
                <w:webHidden/>
              </w:rPr>
              <w:t>4</w:t>
            </w:r>
            <w:r w:rsidRPr="006E3F5F">
              <w:rPr>
                <w:b/>
                <w:bCs/>
                <w:noProof/>
                <w:webHidden/>
              </w:rPr>
              <w:fldChar w:fldCharType="end"/>
            </w:r>
          </w:hyperlink>
        </w:p>
        <w:p w14:paraId="65A6A53E" w14:textId="3DD77675"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74" w:history="1">
            <w:r w:rsidRPr="006E3F5F">
              <w:rPr>
                <w:rStyle w:val="Hyperlink"/>
                <w:rFonts w:ascii="Arial" w:eastAsia="Arial" w:hAnsi="Arial" w:cs="Arial"/>
                <w:b/>
                <w:bCs/>
                <w:noProof/>
              </w:rPr>
              <w:t>6.3 AIRO and VAIR Ontologies</w:t>
            </w:r>
            <w:r w:rsidRPr="006E3F5F">
              <w:rPr>
                <w:b/>
                <w:bCs/>
                <w:noProof/>
                <w:webHidden/>
              </w:rPr>
              <w:tab/>
            </w:r>
            <w:r w:rsidRPr="006E3F5F">
              <w:rPr>
                <w:b/>
                <w:bCs/>
                <w:noProof/>
                <w:webHidden/>
              </w:rPr>
              <w:fldChar w:fldCharType="begin"/>
            </w:r>
            <w:r w:rsidRPr="006E3F5F">
              <w:rPr>
                <w:b/>
                <w:bCs/>
                <w:noProof/>
                <w:webHidden/>
              </w:rPr>
              <w:instrText xml:space="preserve"> PAGEREF _Toc230337274 \h </w:instrText>
            </w:r>
            <w:r w:rsidRPr="006E3F5F">
              <w:rPr>
                <w:b/>
                <w:bCs/>
                <w:noProof/>
                <w:webHidden/>
              </w:rPr>
            </w:r>
            <w:r w:rsidRPr="006E3F5F">
              <w:rPr>
                <w:b/>
                <w:bCs/>
                <w:noProof/>
                <w:webHidden/>
              </w:rPr>
              <w:fldChar w:fldCharType="separate"/>
            </w:r>
            <w:r w:rsidR="008D2CE2">
              <w:rPr>
                <w:b/>
                <w:bCs/>
                <w:noProof/>
                <w:webHidden/>
              </w:rPr>
              <w:t>4</w:t>
            </w:r>
            <w:r w:rsidRPr="006E3F5F">
              <w:rPr>
                <w:b/>
                <w:bCs/>
                <w:noProof/>
                <w:webHidden/>
              </w:rPr>
              <w:fldChar w:fldCharType="end"/>
            </w:r>
          </w:hyperlink>
        </w:p>
        <w:p w14:paraId="451E380E" w14:textId="4937E762" w:rsidR="006E3F5F" w:rsidRPr="006E3F5F" w:rsidRDefault="006E3F5F">
          <w:pPr>
            <w:pStyle w:val="TOC1"/>
            <w:rPr>
              <w:rFonts w:asciiTheme="minorHAnsi" w:eastAsiaTheme="minorEastAsia" w:hAnsiTheme="minorHAnsi" w:cstheme="minorBidi"/>
              <w:kern w:val="2"/>
              <w:sz w:val="24"/>
              <w:szCs w:val="24"/>
              <w:lang w:val="en-IN" w:eastAsia="en-IN"/>
              <w14:ligatures w14:val="standardContextual"/>
            </w:rPr>
          </w:pPr>
          <w:hyperlink w:anchor="_Toc230337275" w:history="1">
            <w:r w:rsidRPr="006E3F5F">
              <w:rPr>
                <w:rStyle w:val="Hyperlink"/>
              </w:rPr>
              <w:t>7. Explainable AI for Credit Scoring Compliance</w:t>
            </w:r>
            <w:r w:rsidRPr="006E3F5F">
              <w:rPr>
                <w:webHidden/>
              </w:rPr>
              <w:tab/>
            </w:r>
            <w:r w:rsidRPr="006E3F5F">
              <w:rPr>
                <w:webHidden/>
              </w:rPr>
              <w:fldChar w:fldCharType="begin"/>
            </w:r>
            <w:r w:rsidRPr="006E3F5F">
              <w:rPr>
                <w:webHidden/>
              </w:rPr>
              <w:instrText xml:space="preserve"> PAGEREF _Toc230337275 \h </w:instrText>
            </w:r>
            <w:r w:rsidRPr="006E3F5F">
              <w:rPr>
                <w:webHidden/>
              </w:rPr>
            </w:r>
            <w:r w:rsidRPr="006E3F5F">
              <w:rPr>
                <w:webHidden/>
              </w:rPr>
              <w:fldChar w:fldCharType="separate"/>
            </w:r>
            <w:r w:rsidR="008D2CE2">
              <w:rPr>
                <w:webHidden/>
              </w:rPr>
              <w:t>5</w:t>
            </w:r>
            <w:r w:rsidRPr="006E3F5F">
              <w:rPr>
                <w:webHidden/>
              </w:rPr>
              <w:fldChar w:fldCharType="end"/>
            </w:r>
          </w:hyperlink>
        </w:p>
        <w:p w14:paraId="33594695" w14:textId="6F8EFA94"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76" w:history="1">
            <w:r w:rsidRPr="006E3F5F">
              <w:rPr>
                <w:rStyle w:val="Hyperlink"/>
                <w:rFonts w:ascii="Arial" w:eastAsia="Arial" w:hAnsi="Arial" w:cs="Arial"/>
                <w:b/>
                <w:bCs/>
                <w:noProof/>
              </w:rPr>
              <w:t>7.1 What is XAI and Why it Matters</w:t>
            </w:r>
            <w:r w:rsidRPr="006E3F5F">
              <w:rPr>
                <w:b/>
                <w:bCs/>
                <w:noProof/>
                <w:webHidden/>
              </w:rPr>
              <w:tab/>
            </w:r>
            <w:r w:rsidRPr="006E3F5F">
              <w:rPr>
                <w:b/>
                <w:bCs/>
                <w:noProof/>
                <w:webHidden/>
              </w:rPr>
              <w:fldChar w:fldCharType="begin"/>
            </w:r>
            <w:r w:rsidRPr="006E3F5F">
              <w:rPr>
                <w:b/>
                <w:bCs/>
                <w:noProof/>
                <w:webHidden/>
              </w:rPr>
              <w:instrText xml:space="preserve"> PAGEREF _Toc230337276 \h </w:instrText>
            </w:r>
            <w:r w:rsidRPr="006E3F5F">
              <w:rPr>
                <w:b/>
                <w:bCs/>
                <w:noProof/>
                <w:webHidden/>
              </w:rPr>
            </w:r>
            <w:r w:rsidRPr="006E3F5F">
              <w:rPr>
                <w:b/>
                <w:bCs/>
                <w:noProof/>
                <w:webHidden/>
              </w:rPr>
              <w:fldChar w:fldCharType="separate"/>
            </w:r>
            <w:r w:rsidR="008D2CE2">
              <w:rPr>
                <w:b/>
                <w:bCs/>
                <w:noProof/>
                <w:webHidden/>
              </w:rPr>
              <w:t>5</w:t>
            </w:r>
            <w:r w:rsidRPr="006E3F5F">
              <w:rPr>
                <w:b/>
                <w:bCs/>
                <w:noProof/>
                <w:webHidden/>
              </w:rPr>
              <w:fldChar w:fldCharType="end"/>
            </w:r>
          </w:hyperlink>
        </w:p>
        <w:p w14:paraId="02F57F46" w14:textId="418F24B7"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77" w:history="1">
            <w:r w:rsidRPr="006E3F5F">
              <w:rPr>
                <w:rStyle w:val="Hyperlink"/>
                <w:rFonts w:ascii="Arial" w:eastAsia="Arial" w:hAnsi="Arial" w:cs="Arial"/>
                <w:b/>
                <w:bCs/>
                <w:noProof/>
              </w:rPr>
              <w:t>7.2 SHAP and LIME</w:t>
            </w:r>
            <w:r w:rsidRPr="006E3F5F">
              <w:rPr>
                <w:b/>
                <w:bCs/>
                <w:noProof/>
                <w:webHidden/>
              </w:rPr>
              <w:tab/>
            </w:r>
            <w:r w:rsidRPr="006E3F5F">
              <w:rPr>
                <w:b/>
                <w:bCs/>
                <w:noProof/>
                <w:webHidden/>
              </w:rPr>
              <w:fldChar w:fldCharType="begin"/>
            </w:r>
            <w:r w:rsidRPr="006E3F5F">
              <w:rPr>
                <w:b/>
                <w:bCs/>
                <w:noProof/>
                <w:webHidden/>
              </w:rPr>
              <w:instrText xml:space="preserve"> PAGEREF _Toc230337277 \h </w:instrText>
            </w:r>
            <w:r w:rsidRPr="006E3F5F">
              <w:rPr>
                <w:b/>
                <w:bCs/>
                <w:noProof/>
                <w:webHidden/>
              </w:rPr>
            </w:r>
            <w:r w:rsidRPr="006E3F5F">
              <w:rPr>
                <w:b/>
                <w:bCs/>
                <w:noProof/>
                <w:webHidden/>
              </w:rPr>
              <w:fldChar w:fldCharType="separate"/>
            </w:r>
            <w:r w:rsidR="008D2CE2">
              <w:rPr>
                <w:b/>
                <w:bCs/>
                <w:noProof/>
                <w:webHidden/>
              </w:rPr>
              <w:t>5</w:t>
            </w:r>
            <w:r w:rsidRPr="006E3F5F">
              <w:rPr>
                <w:b/>
                <w:bCs/>
                <w:noProof/>
                <w:webHidden/>
              </w:rPr>
              <w:fldChar w:fldCharType="end"/>
            </w:r>
          </w:hyperlink>
        </w:p>
        <w:p w14:paraId="1F205C4D" w14:textId="582BB096"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78" w:history="1">
            <w:r w:rsidRPr="006E3F5F">
              <w:rPr>
                <w:rStyle w:val="Hyperlink"/>
                <w:rFonts w:ascii="Arial" w:eastAsia="Arial" w:hAnsi="Arial" w:cs="Arial"/>
                <w:b/>
                <w:bCs/>
                <w:noProof/>
              </w:rPr>
              <w:t>7.3 XAI and the EU AI Act</w:t>
            </w:r>
            <w:r w:rsidRPr="006E3F5F">
              <w:rPr>
                <w:b/>
                <w:bCs/>
                <w:noProof/>
                <w:webHidden/>
              </w:rPr>
              <w:tab/>
            </w:r>
            <w:r w:rsidRPr="006E3F5F">
              <w:rPr>
                <w:b/>
                <w:bCs/>
                <w:noProof/>
                <w:webHidden/>
              </w:rPr>
              <w:fldChar w:fldCharType="begin"/>
            </w:r>
            <w:r w:rsidRPr="006E3F5F">
              <w:rPr>
                <w:b/>
                <w:bCs/>
                <w:noProof/>
                <w:webHidden/>
              </w:rPr>
              <w:instrText xml:space="preserve"> PAGEREF _Toc230337278 \h </w:instrText>
            </w:r>
            <w:r w:rsidRPr="006E3F5F">
              <w:rPr>
                <w:b/>
                <w:bCs/>
                <w:noProof/>
                <w:webHidden/>
              </w:rPr>
            </w:r>
            <w:r w:rsidRPr="006E3F5F">
              <w:rPr>
                <w:b/>
                <w:bCs/>
                <w:noProof/>
                <w:webHidden/>
              </w:rPr>
              <w:fldChar w:fldCharType="separate"/>
            </w:r>
            <w:r w:rsidR="008D2CE2">
              <w:rPr>
                <w:b/>
                <w:bCs/>
                <w:noProof/>
                <w:webHidden/>
              </w:rPr>
              <w:t>5</w:t>
            </w:r>
            <w:r w:rsidRPr="006E3F5F">
              <w:rPr>
                <w:b/>
                <w:bCs/>
                <w:noProof/>
                <w:webHidden/>
              </w:rPr>
              <w:fldChar w:fldCharType="end"/>
            </w:r>
          </w:hyperlink>
        </w:p>
        <w:p w14:paraId="3781AE79" w14:textId="4BCCFD56"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79" w:history="1">
            <w:r w:rsidRPr="006E3F5F">
              <w:rPr>
                <w:rStyle w:val="Hyperlink"/>
                <w:rFonts w:ascii="Arial" w:eastAsia="Arial" w:hAnsi="Arial" w:cs="Arial"/>
                <w:b/>
                <w:bCs/>
                <w:noProof/>
              </w:rPr>
              <w:t>7.4 Limitations of XAI for Regulatory Compliance</w:t>
            </w:r>
            <w:r w:rsidRPr="006E3F5F">
              <w:rPr>
                <w:b/>
                <w:bCs/>
                <w:noProof/>
                <w:webHidden/>
              </w:rPr>
              <w:tab/>
            </w:r>
            <w:r w:rsidRPr="006E3F5F">
              <w:rPr>
                <w:b/>
                <w:bCs/>
                <w:noProof/>
                <w:webHidden/>
              </w:rPr>
              <w:fldChar w:fldCharType="begin"/>
            </w:r>
            <w:r w:rsidRPr="006E3F5F">
              <w:rPr>
                <w:b/>
                <w:bCs/>
                <w:noProof/>
                <w:webHidden/>
              </w:rPr>
              <w:instrText xml:space="preserve"> PAGEREF _Toc230337279 \h </w:instrText>
            </w:r>
            <w:r w:rsidRPr="006E3F5F">
              <w:rPr>
                <w:b/>
                <w:bCs/>
                <w:noProof/>
                <w:webHidden/>
              </w:rPr>
            </w:r>
            <w:r w:rsidRPr="006E3F5F">
              <w:rPr>
                <w:b/>
                <w:bCs/>
                <w:noProof/>
                <w:webHidden/>
              </w:rPr>
              <w:fldChar w:fldCharType="separate"/>
            </w:r>
            <w:r w:rsidR="008D2CE2">
              <w:rPr>
                <w:b/>
                <w:bCs/>
                <w:noProof/>
                <w:webHidden/>
              </w:rPr>
              <w:t>6</w:t>
            </w:r>
            <w:r w:rsidRPr="006E3F5F">
              <w:rPr>
                <w:b/>
                <w:bCs/>
                <w:noProof/>
                <w:webHidden/>
              </w:rPr>
              <w:fldChar w:fldCharType="end"/>
            </w:r>
          </w:hyperlink>
        </w:p>
        <w:p w14:paraId="050F20CB" w14:textId="3DEA1104" w:rsidR="006E3F5F" w:rsidRPr="006E3F5F" w:rsidRDefault="006E3F5F">
          <w:pPr>
            <w:pStyle w:val="TOC1"/>
            <w:rPr>
              <w:rFonts w:asciiTheme="minorHAnsi" w:eastAsiaTheme="minorEastAsia" w:hAnsiTheme="minorHAnsi" w:cstheme="minorBidi"/>
              <w:kern w:val="2"/>
              <w:sz w:val="24"/>
              <w:szCs w:val="24"/>
              <w:lang w:val="en-IN" w:eastAsia="en-IN"/>
              <w14:ligatures w14:val="standardContextual"/>
            </w:rPr>
          </w:pPr>
          <w:hyperlink w:anchor="_Toc230337280" w:history="1">
            <w:r w:rsidRPr="006E3F5F">
              <w:rPr>
                <w:rStyle w:val="Hyperlink"/>
              </w:rPr>
              <w:t>8. AI Risk Scoring and Severity Assessment</w:t>
            </w:r>
            <w:r w:rsidRPr="006E3F5F">
              <w:rPr>
                <w:webHidden/>
              </w:rPr>
              <w:tab/>
            </w:r>
            <w:r w:rsidRPr="006E3F5F">
              <w:rPr>
                <w:webHidden/>
              </w:rPr>
              <w:fldChar w:fldCharType="begin"/>
            </w:r>
            <w:r w:rsidRPr="006E3F5F">
              <w:rPr>
                <w:webHidden/>
              </w:rPr>
              <w:instrText xml:space="preserve"> PAGEREF _Toc230337280 \h </w:instrText>
            </w:r>
            <w:r w:rsidRPr="006E3F5F">
              <w:rPr>
                <w:webHidden/>
              </w:rPr>
            </w:r>
            <w:r w:rsidRPr="006E3F5F">
              <w:rPr>
                <w:webHidden/>
              </w:rPr>
              <w:fldChar w:fldCharType="separate"/>
            </w:r>
            <w:r w:rsidR="008D2CE2">
              <w:rPr>
                <w:webHidden/>
              </w:rPr>
              <w:t>6</w:t>
            </w:r>
            <w:r w:rsidRPr="006E3F5F">
              <w:rPr>
                <w:webHidden/>
              </w:rPr>
              <w:fldChar w:fldCharType="end"/>
            </w:r>
          </w:hyperlink>
        </w:p>
        <w:p w14:paraId="3069AE24" w14:textId="34D14470"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81" w:history="1">
            <w:r w:rsidRPr="006E3F5F">
              <w:rPr>
                <w:rStyle w:val="Hyperlink"/>
                <w:rFonts w:ascii="Arial" w:eastAsia="Arial" w:hAnsi="Arial" w:cs="Arial"/>
                <w:b/>
                <w:bCs/>
                <w:noProof/>
              </w:rPr>
              <w:t>8.1 Risk Scoring Frameworks</w:t>
            </w:r>
            <w:r w:rsidRPr="006E3F5F">
              <w:rPr>
                <w:b/>
                <w:bCs/>
                <w:noProof/>
                <w:webHidden/>
              </w:rPr>
              <w:tab/>
            </w:r>
            <w:r w:rsidRPr="006E3F5F">
              <w:rPr>
                <w:b/>
                <w:bCs/>
                <w:noProof/>
                <w:webHidden/>
              </w:rPr>
              <w:fldChar w:fldCharType="begin"/>
            </w:r>
            <w:r w:rsidRPr="006E3F5F">
              <w:rPr>
                <w:b/>
                <w:bCs/>
                <w:noProof/>
                <w:webHidden/>
              </w:rPr>
              <w:instrText xml:space="preserve"> PAGEREF _Toc230337281 \h </w:instrText>
            </w:r>
            <w:r w:rsidRPr="006E3F5F">
              <w:rPr>
                <w:b/>
                <w:bCs/>
                <w:noProof/>
                <w:webHidden/>
              </w:rPr>
            </w:r>
            <w:r w:rsidRPr="006E3F5F">
              <w:rPr>
                <w:b/>
                <w:bCs/>
                <w:noProof/>
                <w:webHidden/>
              </w:rPr>
              <w:fldChar w:fldCharType="separate"/>
            </w:r>
            <w:r w:rsidR="008D2CE2">
              <w:rPr>
                <w:b/>
                <w:bCs/>
                <w:noProof/>
                <w:webHidden/>
              </w:rPr>
              <w:t>6</w:t>
            </w:r>
            <w:r w:rsidRPr="006E3F5F">
              <w:rPr>
                <w:b/>
                <w:bCs/>
                <w:noProof/>
                <w:webHidden/>
              </w:rPr>
              <w:fldChar w:fldCharType="end"/>
            </w:r>
          </w:hyperlink>
        </w:p>
        <w:p w14:paraId="614A5CDD" w14:textId="2DA614DD"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82" w:history="1">
            <w:r w:rsidRPr="006E3F5F">
              <w:rPr>
                <w:rStyle w:val="Hyperlink"/>
                <w:rFonts w:ascii="Arial" w:eastAsia="Arial" w:hAnsi="Arial" w:cs="Arial"/>
                <w:b/>
                <w:bCs/>
                <w:noProof/>
              </w:rPr>
              <w:t>8.2 Quantitative vs Qualitative Risk Assessment</w:t>
            </w:r>
            <w:r w:rsidRPr="006E3F5F">
              <w:rPr>
                <w:b/>
                <w:bCs/>
                <w:noProof/>
                <w:webHidden/>
              </w:rPr>
              <w:tab/>
            </w:r>
            <w:r w:rsidRPr="006E3F5F">
              <w:rPr>
                <w:b/>
                <w:bCs/>
                <w:noProof/>
                <w:webHidden/>
              </w:rPr>
              <w:fldChar w:fldCharType="begin"/>
            </w:r>
            <w:r w:rsidRPr="006E3F5F">
              <w:rPr>
                <w:b/>
                <w:bCs/>
                <w:noProof/>
                <w:webHidden/>
              </w:rPr>
              <w:instrText xml:space="preserve"> PAGEREF _Toc230337282 \h </w:instrText>
            </w:r>
            <w:r w:rsidRPr="006E3F5F">
              <w:rPr>
                <w:b/>
                <w:bCs/>
                <w:noProof/>
                <w:webHidden/>
              </w:rPr>
            </w:r>
            <w:r w:rsidRPr="006E3F5F">
              <w:rPr>
                <w:b/>
                <w:bCs/>
                <w:noProof/>
                <w:webHidden/>
              </w:rPr>
              <w:fldChar w:fldCharType="separate"/>
            </w:r>
            <w:r w:rsidR="008D2CE2">
              <w:rPr>
                <w:b/>
                <w:bCs/>
                <w:noProof/>
                <w:webHidden/>
              </w:rPr>
              <w:t>6</w:t>
            </w:r>
            <w:r w:rsidRPr="006E3F5F">
              <w:rPr>
                <w:b/>
                <w:bCs/>
                <w:noProof/>
                <w:webHidden/>
              </w:rPr>
              <w:fldChar w:fldCharType="end"/>
            </w:r>
          </w:hyperlink>
        </w:p>
        <w:p w14:paraId="7CD9768E" w14:textId="1307532D"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83" w:history="1">
            <w:r w:rsidRPr="006E3F5F">
              <w:rPr>
                <w:rStyle w:val="Hyperlink"/>
                <w:rFonts w:ascii="Arial" w:eastAsia="Arial" w:hAnsi="Arial" w:cs="Arial"/>
                <w:b/>
                <w:bCs/>
                <w:noProof/>
              </w:rPr>
              <w:t>8.3 Risk Scoring in the EU AI Act Context</w:t>
            </w:r>
            <w:r w:rsidRPr="006E3F5F">
              <w:rPr>
                <w:b/>
                <w:bCs/>
                <w:noProof/>
                <w:webHidden/>
              </w:rPr>
              <w:tab/>
            </w:r>
            <w:r w:rsidRPr="006E3F5F">
              <w:rPr>
                <w:b/>
                <w:bCs/>
                <w:noProof/>
                <w:webHidden/>
              </w:rPr>
              <w:fldChar w:fldCharType="begin"/>
            </w:r>
            <w:r w:rsidRPr="006E3F5F">
              <w:rPr>
                <w:b/>
                <w:bCs/>
                <w:noProof/>
                <w:webHidden/>
              </w:rPr>
              <w:instrText xml:space="preserve"> PAGEREF _Toc230337283 \h </w:instrText>
            </w:r>
            <w:r w:rsidRPr="006E3F5F">
              <w:rPr>
                <w:b/>
                <w:bCs/>
                <w:noProof/>
                <w:webHidden/>
              </w:rPr>
            </w:r>
            <w:r w:rsidRPr="006E3F5F">
              <w:rPr>
                <w:b/>
                <w:bCs/>
                <w:noProof/>
                <w:webHidden/>
              </w:rPr>
              <w:fldChar w:fldCharType="separate"/>
            </w:r>
            <w:r w:rsidR="008D2CE2">
              <w:rPr>
                <w:b/>
                <w:bCs/>
                <w:noProof/>
                <w:webHidden/>
              </w:rPr>
              <w:t>6</w:t>
            </w:r>
            <w:r w:rsidRPr="006E3F5F">
              <w:rPr>
                <w:b/>
                <w:bCs/>
                <w:noProof/>
                <w:webHidden/>
              </w:rPr>
              <w:fldChar w:fldCharType="end"/>
            </w:r>
          </w:hyperlink>
        </w:p>
        <w:p w14:paraId="3DA6117C" w14:textId="13E875E2" w:rsidR="006E3F5F" w:rsidRPr="006E3F5F" w:rsidRDefault="006E3F5F">
          <w:pPr>
            <w:pStyle w:val="TOC1"/>
            <w:rPr>
              <w:rFonts w:asciiTheme="minorHAnsi" w:eastAsiaTheme="minorEastAsia" w:hAnsiTheme="minorHAnsi" w:cstheme="minorBidi"/>
              <w:kern w:val="2"/>
              <w:sz w:val="24"/>
              <w:szCs w:val="24"/>
              <w:lang w:val="en-IN" w:eastAsia="en-IN"/>
              <w14:ligatures w14:val="standardContextual"/>
            </w:rPr>
          </w:pPr>
          <w:hyperlink w:anchor="_Toc230337284" w:history="1">
            <w:r w:rsidRPr="006E3F5F">
              <w:rPr>
                <w:rStyle w:val="Hyperlink"/>
              </w:rPr>
              <w:t>9. Bias Detection and Fairness Metrics</w:t>
            </w:r>
            <w:r w:rsidRPr="006E3F5F">
              <w:rPr>
                <w:webHidden/>
              </w:rPr>
              <w:tab/>
            </w:r>
            <w:r w:rsidRPr="006E3F5F">
              <w:rPr>
                <w:webHidden/>
              </w:rPr>
              <w:fldChar w:fldCharType="begin"/>
            </w:r>
            <w:r w:rsidRPr="006E3F5F">
              <w:rPr>
                <w:webHidden/>
              </w:rPr>
              <w:instrText xml:space="preserve"> PAGEREF _Toc230337284 \h </w:instrText>
            </w:r>
            <w:r w:rsidRPr="006E3F5F">
              <w:rPr>
                <w:webHidden/>
              </w:rPr>
            </w:r>
            <w:r w:rsidRPr="006E3F5F">
              <w:rPr>
                <w:webHidden/>
              </w:rPr>
              <w:fldChar w:fldCharType="separate"/>
            </w:r>
            <w:r w:rsidR="008D2CE2">
              <w:rPr>
                <w:webHidden/>
              </w:rPr>
              <w:t>7</w:t>
            </w:r>
            <w:r w:rsidRPr="006E3F5F">
              <w:rPr>
                <w:webHidden/>
              </w:rPr>
              <w:fldChar w:fldCharType="end"/>
            </w:r>
          </w:hyperlink>
        </w:p>
        <w:p w14:paraId="26F98B1B" w14:textId="3AFB8B2F"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85" w:history="1">
            <w:r w:rsidRPr="006E3F5F">
              <w:rPr>
                <w:rStyle w:val="Hyperlink"/>
                <w:rFonts w:ascii="Arial" w:eastAsia="Arial" w:hAnsi="Arial" w:cs="Arial"/>
                <w:b/>
                <w:bCs/>
                <w:noProof/>
              </w:rPr>
              <w:t>9.1 Fairness Definitions and Metrics</w:t>
            </w:r>
            <w:r w:rsidRPr="006E3F5F">
              <w:rPr>
                <w:b/>
                <w:bCs/>
                <w:noProof/>
                <w:webHidden/>
              </w:rPr>
              <w:tab/>
            </w:r>
            <w:r w:rsidRPr="006E3F5F">
              <w:rPr>
                <w:b/>
                <w:bCs/>
                <w:noProof/>
                <w:webHidden/>
              </w:rPr>
              <w:fldChar w:fldCharType="begin"/>
            </w:r>
            <w:r w:rsidRPr="006E3F5F">
              <w:rPr>
                <w:b/>
                <w:bCs/>
                <w:noProof/>
                <w:webHidden/>
              </w:rPr>
              <w:instrText xml:space="preserve"> PAGEREF _Toc230337285 \h </w:instrText>
            </w:r>
            <w:r w:rsidRPr="006E3F5F">
              <w:rPr>
                <w:b/>
                <w:bCs/>
                <w:noProof/>
                <w:webHidden/>
              </w:rPr>
            </w:r>
            <w:r w:rsidRPr="006E3F5F">
              <w:rPr>
                <w:b/>
                <w:bCs/>
                <w:noProof/>
                <w:webHidden/>
              </w:rPr>
              <w:fldChar w:fldCharType="separate"/>
            </w:r>
            <w:r w:rsidR="008D2CE2">
              <w:rPr>
                <w:b/>
                <w:bCs/>
                <w:noProof/>
                <w:webHidden/>
              </w:rPr>
              <w:t>7</w:t>
            </w:r>
            <w:r w:rsidRPr="006E3F5F">
              <w:rPr>
                <w:b/>
                <w:bCs/>
                <w:noProof/>
                <w:webHidden/>
              </w:rPr>
              <w:fldChar w:fldCharType="end"/>
            </w:r>
          </w:hyperlink>
        </w:p>
        <w:p w14:paraId="4E5A421B" w14:textId="732EA1FD"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86" w:history="1">
            <w:r w:rsidRPr="006E3F5F">
              <w:rPr>
                <w:rStyle w:val="Hyperlink"/>
                <w:rFonts w:ascii="Arial" w:eastAsia="Arial" w:hAnsi="Arial" w:cs="Arial"/>
                <w:b/>
                <w:bCs/>
                <w:noProof/>
              </w:rPr>
              <w:t>9.2 Bias Detection Toolkits</w:t>
            </w:r>
            <w:r w:rsidRPr="006E3F5F">
              <w:rPr>
                <w:b/>
                <w:bCs/>
                <w:noProof/>
                <w:webHidden/>
              </w:rPr>
              <w:tab/>
            </w:r>
            <w:r w:rsidRPr="006E3F5F">
              <w:rPr>
                <w:b/>
                <w:bCs/>
                <w:noProof/>
                <w:webHidden/>
              </w:rPr>
              <w:fldChar w:fldCharType="begin"/>
            </w:r>
            <w:r w:rsidRPr="006E3F5F">
              <w:rPr>
                <w:b/>
                <w:bCs/>
                <w:noProof/>
                <w:webHidden/>
              </w:rPr>
              <w:instrText xml:space="preserve"> PAGEREF _Toc230337286 \h </w:instrText>
            </w:r>
            <w:r w:rsidRPr="006E3F5F">
              <w:rPr>
                <w:b/>
                <w:bCs/>
                <w:noProof/>
                <w:webHidden/>
              </w:rPr>
            </w:r>
            <w:r w:rsidRPr="006E3F5F">
              <w:rPr>
                <w:b/>
                <w:bCs/>
                <w:noProof/>
                <w:webHidden/>
              </w:rPr>
              <w:fldChar w:fldCharType="separate"/>
            </w:r>
            <w:r w:rsidR="008D2CE2">
              <w:rPr>
                <w:b/>
                <w:bCs/>
                <w:noProof/>
                <w:webHidden/>
              </w:rPr>
              <w:t>7</w:t>
            </w:r>
            <w:r w:rsidRPr="006E3F5F">
              <w:rPr>
                <w:b/>
                <w:bCs/>
                <w:noProof/>
                <w:webHidden/>
              </w:rPr>
              <w:fldChar w:fldCharType="end"/>
            </w:r>
          </w:hyperlink>
        </w:p>
        <w:p w14:paraId="77A6E198" w14:textId="1B428162"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87" w:history="1">
            <w:r w:rsidRPr="006E3F5F">
              <w:rPr>
                <w:rStyle w:val="Hyperlink"/>
                <w:rFonts w:ascii="Arial" w:eastAsia="Arial" w:hAnsi="Arial" w:cs="Arial"/>
                <w:b/>
                <w:bCs/>
                <w:noProof/>
              </w:rPr>
              <w:t>9.3 Bias Detection and the FRIA</w:t>
            </w:r>
            <w:r w:rsidRPr="006E3F5F">
              <w:rPr>
                <w:b/>
                <w:bCs/>
                <w:noProof/>
                <w:webHidden/>
              </w:rPr>
              <w:tab/>
            </w:r>
            <w:r w:rsidRPr="006E3F5F">
              <w:rPr>
                <w:b/>
                <w:bCs/>
                <w:noProof/>
                <w:webHidden/>
              </w:rPr>
              <w:fldChar w:fldCharType="begin"/>
            </w:r>
            <w:r w:rsidRPr="006E3F5F">
              <w:rPr>
                <w:b/>
                <w:bCs/>
                <w:noProof/>
                <w:webHidden/>
              </w:rPr>
              <w:instrText xml:space="preserve"> PAGEREF _Toc230337287 \h </w:instrText>
            </w:r>
            <w:r w:rsidRPr="006E3F5F">
              <w:rPr>
                <w:b/>
                <w:bCs/>
                <w:noProof/>
                <w:webHidden/>
              </w:rPr>
            </w:r>
            <w:r w:rsidRPr="006E3F5F">
              <w:rPr>
                <w:b/>
                <w:bCs/>
                <w:noProof/>
                <w:webHidden/>
              </w:rPr>
              <w:fldChar w:fldCharType="separate"/>
            </w:r>
            <w:r w:rsidR="008D2CE2">
              <w:rPr>
                <w:b/>
                <w:bCs/>
                <w:noProof/>
                <w:webHidden/>
              </w:rPr>
              <w:t>7</w:t>
            </w:r>
            <w:r w:rsidRPr="006E3F5F">
              <w:rPr>
                <w:b/>
                <w:bCs/>
                <w:noProof/>
                <w:webHidden/>
              </w:rPr>
              <w:fldChar w:fldCharType="end"/>
            </w:r>
          </w:hyperlink>
        </w:p>
        <w:p w14:paraId="5829719D" w14:textId="1AA39CDC" w:rsidR="006E3F5F" w:rsidRPr="006E3F5F" w:rsidRDefault="006E3F5F">
          <w:pPr>
            <w:pStyle w:val="TOC1"/>
            <w:rPr>
              <w:rFonts w:asciiTheme="minorHAnsi" w:eastAsiaTheme="minorEastAsia" w:hAnsiTheme="minorHAnsi" w:cstheme="minorBidi"/>
              <w:kern w:val="2"/>
              <w:sz w:val="24"/>
              <w:szCs w:val="24"/>
              <w:lang w:val="en-IN" w:eastAsia="en-IN"/>
              <w14:ligatures w14:val="standardContextual"/>
            </w:rPr>
          </w:pPr>
          <w:hyperlink w:anchor="_Toc230337288" w:history="1">
            <w:r w:rsidRPr="006E3F5F">
              <w:rPr>
                <w:rStyle w:val="Hyperlink"/>
              </w:rPr>
              <w:t>10. Existing Compliance Tools and the Research Gap</w:t>
            </w:r>
            <w:r w:rsidRPr="006E3F5F">
              <w:rPr>
                <w:webHidden/>
              </w:rPr>
              <w:tab/>
            </w:r>
            <w:r w:rsidRPr="006E3F5F">
              <w:rPr>
                <w:webHidden/>
              </w:rPr>
              <w:fldChar w:fldCharType="begin"/>
            </w:r>
            <w:r w:rsidRPr="006E3F5F">
              <w:rPr>
                <w:webHidden/>
              </w:rPr>
              <w:instrText xml:space="preserve"> PAGEREF _Toc230337288 \h </w:instrText>
            </w:r>
            <w:r w:rsidRPr="006E3F5F">
              <w:rPr>
                <w:webHidden/>
              </w:rPr>
            </w:r>
            <w:r w:rsidRPr="006E3F5F">
              <w:rPr>
                <w:webHidden/>
              </w:rPr>
              <w:fldChar w:fldCharType="separate"/>
            </w:r>
            <w:r w:rsidR="008D2CE2">
              <w:rPr>
                <w:webHidden/>
              </w:rPr>
              <w:t>8</w:t>
            </w:r>
            <w:r w:rsidRPr="006E3F5F">
              <w:rPr>
                <w:webHidden/>
              </w:rPr>
              <w:fldChar w:fldCharType="end"/>
            </w:r>
          </w:hyperlink>
        </w:p>
        <w:p w14:paraId="48F8755E" w14:textId="092F6585"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89" w:history="1">
            <w:r w:rsidRPr="006E3F5F">
              <w:rPr>
                <w:rStyle w:val="Hyperlink"/>
                <w:rFonts w:ascii="Arial" w:eastAsia="Arial" w:hAnsi="Arial" w:cs="Arial"/>
                <w:b/>
                <w:bCs/>
                <w:noProof/>
              </w:rPr>
              <w:t>10.1 Commercial Tools</w:t>
            </w:r>
            <w:r w:rsidRPr="006E3F5F">
              <w:rPr>
                <w:b/>
                <w:bCs/>
                <w:noProof/>
                <w:webHidden/>
              </w:rPr>
              <w:tab/>
            </w:r>
            <w:r w:rsidRPr="006E3F5F">
              <w:rPr>
                <w:b/>
                <w:bCs/>
                <w:noProof/>
                <w:webHidden/>
              </w:rPr>
              <w:fldChar w:fldCharType="begin"/>
            </w:r>
            <w:r w:rsidRPr="006E3F5F">
              <w:rPr>
                <w:b/>
                <w:bCs/>
                <w:noProof/>
                <w:webHidden/>
              </w:rPr>
              <w:instrText xml:space="preserve"> PAGEREF _Toc230337289 \h </w:instrText>
            </w:r>
            <w:r w:rsidRPr="006E3F5F">
              <w:rPr>
                <w:b/>
                <w:bCs/>
                <w:noProof/>
                <w:webHidden/>
              </w:rPr>
            </w:r>
            <w:r w:rsidRPr="006E3F5F">
              <w:rPr>
                <w:b/>
                <w:bCs/>
                <w:noProof/>
                <w:webHidden/>
              </w:rPr>
              <w:fldChar w:fldCharType="separate"/>
            </w:r>
            <w:r w:rsidR="008D2CE2">
              <w:rPr>
                <w:b/>
                <w:bCs/>
                <w:noProof/>
                <w:webHidden/>
              </w:rPr>
              <w:t>8</w:t>
            </w:r>
            <w:r w:rsidRPr="006E3F5F">
              <w:rPr>
                <w:b/>
                <w:bCs/>
                <w:noProof/>
                <w:webHidden/>
              </w:rPr>
              <w:fldChar w:fldCharType="end"/>
            </w:r>
          </w:hyperlink>
        </w:p>
        <w:p w14:paraId="7EBB6F1C" w14:textId="4516FF93"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90" w:history="1">
            <w:r w:rsidRPr="006E3F5F">
              <w:rPr>
                <w:rStyle w:val="Hyperlink"/>
                <w:rFonts w:ascii="Arial" w:eastAsia="Arial" w:hAnsi="Arial" w:cs="Arial"/>
                <w:b/>
                <w:bCs/>
                <w:noProof/>
              </w:rPr>
              <w:t>10.2 Academic Prototypes</w:t>
            </w:r>
            <w:r w:rsidRPr="006E3F5F">
              <w:rPr>
                <w:b/>
                <w:bCs/>
                <w:noProof/>
                <w:webHidden/>
              </w:rPr>
              <w:tab/>
            </w:r>
            <w:r w:rsidRPr="006E3F5F">
              <w:rPr>
                <w:b/>
                <w:bCs/>
                <w:noProof/>
                <w:webHidden/>
              </w:rPr>
              <w:fldChar w:fldCharType="begin"/>
            </w:r>
            <w:r w:rsidRPr="006E3F5F">
              <w:rPr>
                <w:b/>
                <w:bCs/>
                <w:noProof/>
                <w:webHidden/>
              </w:rPr>
              <w:instrText xml:space="preserve"> PAGEREF _Toc230337290 \h </w:instrText>
            </w:r>
            <w:r w:rsidRPr="006E3F5F">
              <w:rPr>
                <w:b/>
                <w:bCs/>
                <w:noProof/>
                <w:webHidden/>
              </w:rPr>
            </w:r>
            <w:r w:rsidRPr="006E3F5F">
              <w:rPr>
                <w:b/>
                <w:bCs/>
                <w:noProof/>
                <w:webHidden/>
              </w:rPr>
              <w:fldChar w:fldCharType="separate"/>
            </w:r>
            <w:r w:rsidR="008D2CE2">
              <w:rPr>
                <w:b/>
                <w:bCs/>
                <w:noProof/>
                <w:webHidden/>
              </w:rPr>
              <w:t>8</w:t>
            </w:r>
            <w:r w:rsidRPr="006E3F5F">
              <w:rPr>
                <w:b/>
                <w:bCs/>
                <w:noProof/>
                <w:webHidden/>
              </w:rPr>
              <w:fldChar w:fldCharType="end"/>
            </w:r>
          </w:hyperlink>
        </w:p>
        <w:p w14:paraId="77A28ED0" w14:textId="46D6B236" w:rsidR="006E3F5F" w:rsidRPr="006E3F5F" w:rsidRDefault="006E3F5F">
          <w:pPr>
            <w:pStyle w:val="TOC2"/>
            <w:tabs>
              <w:tab w:val="right" w:leader="dot" w:pos="9016"/>
            </w:tabs>
            <w:rPr>
              <w:rFonts w:eastAsiaTheme="minorEastAsia"/>
              <w:b/>
              <w:bCs/>
              <w:noProof/>
              <w:kern w:val="2"/>
              <w:sz w:val="24"/>
              <w:szCs w:val="24"/>
              <w:lang w:val="en-IN" w:eastAsia="en-IN"/>
              <w14:ligatures w14:val="standardContextual"/>
            </w:rPr>
          </w:pPr>
          <w:hyperlink w:anchor="_Toc230337291" w:history="1">
            <w:r w:rsidRPr="006E3F5F">
              <w:rPr>
                <w:rStyle w:val="Hyperlink"/>
                <w:rFonts w:ascii="Arial" w:eastAsia="Arial" w:hAnsi="Arial" w:cs="Arial"/>
                <w:b/>
                <w:bCs/>
                <w:noProof/>
              </w:rPr>
              <w:t>10.3 The Unified Tool Gap</w:t>
            </w:r>
            <w:r w:rsidRPr="006E3F5F">
              <w:rPr>
                <w:b/>
                <w:bCs/>
                <w:noProof/>
                <w:webHidden/>
              </w:rPr>
              <w:tab/>
            </w:r>
            <w:r w:rsidRPr="006E3F5F">
              <w:rPr>
                <w:b/>
                <w:bCs/>
                <w:noProof/>
                <w:webHidden/>
              </w:rPr>
              <w:fldChar w:fldCharType="begin"/>
            </w:r>
            <w:r w:rsidRPr="006E3F5F">
              <w:rPr>
                <w:b/>
                <w:bCs/>
                <w:noProof/>
                <w:webHidden/>
              </w:rPr>
              <w:instrText xml:space="preserve"> PAGEREF _Toc230337291 \h </w:instrText>
            </w:r>
            <w:r w:rsidRPr="006E3F5F">
              <w:rPr>
                <w:b/>
                <w:bCs/>
                <w:noProof/>
                <w:webHidden/>
              </w:rPr>
            </w:r>
            <w:r w:rsidRPr="006E3F5F">
              <w:rPr>
                <w:b/>
                <w:bCs/>
                <w:noProof/>
                <w:webHidden/>
              </w:rPr>
              <w:fldChar w:fldCharType="separate"/>
            </w:r>
            <w:r w:rsidR="008D2CE2">
              <w:rPr>
                <w:b/>
                <w:bCs/>
                <w:noProof/>
                <w:webHidden/>
              </w:rPr>
              <w:t>8</w:t>
            </w:r>
            <w:r w:rsidRPr="006E3F5F">
              <w:rPr>
                <w:b/>
                <w:bCs/>
                <w:noProof/>
                <w:webHidden/>
              </w:rPr>
              <w:fldChar w:fldCharType="end"/>
            </w:r>
          </w:hyperlink>
        </w:p>
        <w:p w14:paraId="324DB554" w14:textId="4984861A" w:rsidR="006E3F5F" w:rsidRPr="006E3F5F" w:rsidRDefault="006E3F5F">
          <w:pPr>
            <w:pStyle w:val="TOC1"/>
            <w:rPr>
              <w:rFonts w:asciiTheme="minorHAnsi" w:eastAsiaTheme="minorEastAsia" w:hAnsiTheme="minorHAnsi" w:cstheme="minorBidi"/>
              <w:kern w:val="2"/>
              <w:sz w:val="24"/>
              <w:szCs w:val="24"/>
              <w:lang w:val="en-IN" w:eastAsia="en-IN"/>
              <w14:ligatures w14:val="standardContextual"/>
            </w:rPr>
          </w:pPr>
          <w:hyperlink w:anchor="_Toc230337292" w:history="1">
            <w:r w:rsidRPr="006E3F5F">
              <w:rPr>
                <w:rStyle w:val="Hyperlink"/>
              </w:rPr>
              <w:t>11. Conclusion</w:t>
            </w:r>
            <w:r w:rsidRPr="006E3F5F">
              <w:rPr>
                <w:webHidden/>
              </w:rPr>
              <w:tab/>
            </w:r>
            <w:r w:rsidRPr="006E3F5F">
              <w:rPr>
                <w:webHidden/>
              </w:rPr>
              <w:fldChar w:fldCharType="begin"/>
            </w:r>
            <w:r w:rsidRPr="006E3F5F">
              <w:rPr>
                <w:webHidden/>
              </w:rPr>
              <w:instrText xml:space="preserve"> PAGEREF _Toc230337292 \h </w:instrText>
            </w:r>
            <w:r w:rsidRPr="006E3F5F">
              <w:rPr>
                <w:webHidden/>
              </w:rPr>
            </w:r>
            <w:r w:rsidRPr="006E3F5F">
              <w:rPr>
                <w:webHidden/>
              </w:rPr>
              <w:fldChar w:fldCharType="separate"/>
            </w:r>
            <w:r w:rsidR="008D2CE2">
              <w:rPr>
                <w:webHidden/>
              </w:rPr>
              <w:t>8</w:t>
            </w:r>
            <w:r w:rsidRPr="006E3F5F">
              <w:rPr>
                <w:webHidden/>
              </w:rPr>
              <w:fldChar w:fldCharType="end"/>
            </w:r>
          </w:hyperlink>
        </w:p>
        <w:p w14:paraId="6A32236A" w14:textId="781C82C8" w:rsidR="006E3F5F" w:rsidRPr="006E3F5F" w:rsidRDefault="006E3F5F">
          <w:pPr>
            <w:pStyle w:val="TOC1"/>
            <w:rPr>
              <w:rFonts w:asciiTheme="minorHAnsi" w:eastAsiaTheme="minorEastAsia" w:hAnsiTheme="minorHAnsi" w:cstheme="minorBidi"/>
              <w:kern w:val="2"/>
              <w:sz w:val="24"/>
              <w:szCs w:val="24"/>
              <w:lang w:val="en-IN" w:eastAsia="en-IN"/>
              <w14:ligatures w14:val="standardContextual"/>
            </w:rPr>
          </w:pPr>
          <w:hyperlink w:anchor="_Toc230337293" w:history="1">
            <w:r w:rsidRPr="006E3F5F">
              <w:rPr>
                <w:rStyle w:val="Hyperlink"/>
              </w:rPr>
              <w:t>References</w:t>
            </w:r>
            <w:r w:rsidRPr="006E3F5F">
              <w:rPr>
                <w:webHidden/>
              </w:rPr>
              <w:tab/>
            </w:r>
            <w:r w:rsidRPr="006E3F5F">
              <w:rPr>
                <w:webHidden/>
              </w:rPr>
              <w:fldChar w:fldCharType="begin"/>
            </w:r>
            <w:r w:rsidRPr="006E3F5F">
              <w:rPr>
                <w:webHidden/>
              </w:rPr>
              <w:instrText xml:space="preserve"> PAGEREF _Toc230337293 \h </w:instrText>
            </w:r>
            <w:r w:rsidRPr="006E3F5F">
              <w:rPr>
                <w:webHidden/>
              </w:rPr>
            </w:r>
            <w:r w:rsidRPr="006E3F5F">
              <w:rPr>
                <w:webHidden/>
              </w:rPr>
              <w:fldChar w:fldCharType="separate"/>
            </w:r>
            <w:r w:rsidR="008D2CE2">
              <w:rPr>
                <w:webHidden/>
              </w:rPr>
              <w:t>10</w:t>
            </w:r>
            <w:r w:rsidRPr="006E3F5F">
              <w:rPr>
                <w:webHidden/>
              </w:rPr>
              <w:fldChar w:fldCharType="end"/>
            </w:r>
          </w:hyperlink>
        </w:p>
        <w:p w14:paraId="0079BCFE" w14:textId="208599CA" w:rsidR="001B46C9" w:rsidRDefault="001B46C9">
          <w:r w:rsidRPr="006E3F5F">
            <w:rPr>
              <w:rFonts w:ascii="Garamond" w:hAnsi="Garamond"/>
              <w:b/>
              <w:bCs/>
              <w:noProof/>
            </w:rPr>
            <w:fldChar w:fldCharType="end"/>
          </w:r>
        </w:p>
      </w:sdtContent>
    </w:sdt>
    <w:p w14:paraId="5953F9CB" w14:textId="77777777" w:rsidR="00170BBC" w:rsidRDefault="00170BBC" w:rsidP="00FD37EF">
      <w:pPr>
        <w:jc w:val="center"/>
        <w:rPr>
          <w:rFonts w:ascii="Garamond" w:hAnsi="Garamond"/>
          <w:sz w:val="56"/>
          <w:szCs w:val="56"/>
        </w:rPr>
      </w:pPr>
    </w:p>
    <w:p w14:paraId="05A2D052" w14:textId="77777777" w:rsidR="00170BBC" w:rsidRDefault="00170BBC" w:rsidP="00FD37EF">
      <w:pPr>
        <w:jc w:val="center"/>
        <w:rPr>
          <w:rFonts w:ascii="Garamond" w:hAnsi="Garamond"/>
          <w:sz w:val="56"/>
          <w:szCs w:val="56"/>
        </w:rPr>
      </w:pPr>
    </w:p>
    <w:p w14:paraId="0A4A349B" w14:textId="0B004F55" w:rsidR="00170BBC" w:rsidRDefault="00170BBC">
      <w:pPr>
        <w:rPr>
          <w:rFonts w:ascii="Garamond" w:hAnsi="Garamond"/>
          <w:sz w:val="56"/>
          <w:szCs w:val="56"/>
          <w:lang w:val="en-IN"/>
        </w:rPr>
      </w:pPr>
    </w:p>
    <w:p w14:paraId="34A3B43D" w14:textId="77777777" w:rsidR="0048283B" w:rsidRDefault="0048283B">
      <w:pPr>
        <w:rPr>
          <w:rFonts w:ascii="Garamond" w:hAnsi="Garamond"/>
          <w:sz w:val="56"/>
          <w:szCs w:val="56"/>
          <w:lang w:val="en-IN"/>
        </w:rPr>
      </w:pPr>
    </w:p>
    <w:p w14:paraId="3291E704" w14:textId="77777777" w:rsidR="0048283B" w:rsidRDefault="0048283B">
      <w:pPr>
        <w:rPr>
          <w:rFonts w:ascii="Garamond" w:hAnsi="Garamond"/>
          <w:sz w:val="56"/>
          <w:szCs w:val="56"/>
          <w:lang w:val="en-IN"/>
        </w:rPr>
      </w:pPr>
    </w:p>
    <w:p w14:paraId="33D86CE7" w14:textId="77777777" w:rsidR="0048283B" w:rsidRDefault="0048283B">
      <w:pPr>
        <w:rPr>
          <w:rFonts w:ascii="Garamond" w:hAnsi="Garamond"/>
          <w:sz w:val="56"/>
          <w:szCs w:val="56"/>
          <w:lang w:val="en-IN"/>
        </w:rPr>
      </w:pPr>
    </w:p>
    <w:p w14:paraId="392888A3" w14:textId="77777777" w:rsidR="0048283B" w:rsidRDefault="0048283B">
      <w:pPr>
        <w:rPr>
          <w:rFonts w:ascii="Garamond" w:hAnsi="Garamond"/>
          <w:sz w:val="56"/>
          <w:szCs w:val="56"/>
          <w:lang w:val="en-IN"/>
        </w:rPr>
      </w:pPr>
    </w:p>
    <w:p w14:paraId="4694EFCA" w14:textId="77777777" w:rsidR="0048283B" w:rsidRDefault="0048283B">
      <w:pPr>
        <w:rPr>
          <w:rFonts w:ascii="Garamond" w:hAnsi="Garamond"/>
          <w:sz w:val="56"/>
          <w:szCs w:val="56"/>
          <w:lang w:val="en-IN"/>
        </w:rPr>
      </w:pPr>
    </w:p>
    <w:p w14:paraId="12F56CC7" w14:textId="77777777" w:rsidR="0048283B" w:rsidRDefault="0048283B">
      <w:pPr>
        <w:rPr>
          <w:rFonts w:ascii="Garamond" w:hAnsi="Garamond"/>
          <w:sz w:val="56"/>
          <w:szCs w:val="56"/>
          <w:lang w:val="en-IN"/>
        </w:rPr>
      </w:pPr>
    </w:p>
    <w:p w14:paraId="13DE17A4" w14:textId="77777777" w:rsidR="0048283B" w:rsidRPr="00935B47" w:rsidRDefault="0048283B">
      <w:pPr>
        <w:rPr>
          <w:rFonts w:ascii="Garamond" w:hAnsi="Garamond"/>
          <w:sz w:val="56"/>
          <w:szCs w:val="56"/>
          <w:lang w:val="en-IN"/>
        </w:rPr>
      </w:pPr>
    </w:p>
    <w:p w14:paraId="5F231901" w14:textId="77777777" w:rsidR="006E3F5F" w:rsidRDefault="006E3F5F" w:rsidP="00935B47">
      <w:pPr>
        <w:pStyle w:val="Heading1"/>
        <w:rPr>
          <w:rFonts w:ascii="Arial" w:eastAsia="Arial" w:hAnsi="Arial" w:cs="Arial"/>
          <w:b/>
          <w:bCs/>
          <w:color w:val="auto"/>
        </w:rPr>
        <w:sectPr w:rsidR="006E3F5F">
          <w:footerReference w:type="default" r:id="rId8"/>
          <w:pgSz w:w="11906" w:h="16838"/>
          <w:pgMar w:top="1440" w:right="1440" w:bottom="1440" w:left="1440" w:header="708" w:footer="708" w:gutter="0"/>
          <w:cols w:space="708"/>
          <w:docGrid w:linePitch="360"/>
        </w:sectPr>
      </w:pPr>
    </w:p>
    <w:p w14:paraId="645C2C86" w14:textId="77777777" w:rsidR="00935B47" w:rsidRPr="0048283B" w:rsidRDefault="00935B47" w:rsidP="00935B47">
      <w:pPr>
        <w:pStyle w:val="Heading1"/>
        <w:rPr>
          <w:color w:val="auto"/>
        </w:rPr>
      </w:pPr>
      <w:bookmarkStart w:id="0" w:name="_Toc230337253"/>
      <w:r w:rsidRPr="0048283B">
        <w:rPr>
          <w:rFonts w:ascii="Arial" w:eastAsia="Arial" w:hAnsi="Arial" w:cs="Arial"/>
          <w:b/>
          <w:bCs/>
          <w:color w:val="auto"/>
        </w:rPr>
        <w:lastRenderedPageBreak/>
        <w:t>1. Introduction</w:t>
      </w:r>
      <w:bookmarkEnd w:id="0"/>
    </w:p>
    <w:p w14:paraId="3F24F0D0" w14:textId="77777777" w:rsidR="00935B47" w:rsidRDefault="00935B47" w:rsidP="00935B47">
      <w:pPr>
        <w:spacing w:before="80" w:after="120"/>
        <w:jc w:val="both"/>
      </w:pPr>
      <w:r>
        <w:rPr>
          <w:rFonts w:ascii="Arial" w:eastAsia="Arial" w:hAnsi="Arial" w:cs="Arial"/>
        </w:rPr>
        <w:t>Artificial intelligence is now being used to make important decisions about people, including whether they qualify for a loan or credit card. These decisions can affect someone's financial future, their access to housing, and their overall quality of life. As AI systems become more widely used in these sensitive areas, there is a growing need to make sure they are fair, safe, legally compliant, and explainable.</w:t>
      </w:r>
    </w:p>
    <w:p w14:paraId="07373721" w14:textId="77777777" w:rsidR="00935B47" w:rsidRDefault="00935B47" w:rsidP="00935B47">
      <w:pPr>
        <w:spacing w:before="80" w:after="120"/>
        <w:jc w:val="both"/>
      </w:pPr>
      <w:r>
        <w:rPr>
          <w:rFonts w:ascii="Arial" w:eastAsia="Arial" w:hAnsi="Arial" w:cs="Arial"/>
        </w:rPr>
        <w:t>The European Union responded to this need by introducing the EU AI Act (Regulation 2024/1689), which came into force in August 2024 and becomes fully applicable to high-risk AI systems in August 2026 [1]. This is the world's first comprehensive legal framework specifically designed to regulate AI. For organisations using high-risk AI systems such as credit scoring tools, the Act requires a Fundamental Rights Impact Assessment (FRIA) under Article 27, cybersecurity robustness under Article 15, transparency and explainability under Article 13, and a risk management system under Article 9.</w:t>
      </w:r>
    </w:p>
    <w:p w14:paraId="6C4A9F1D" w14:textId="77777777" w:rsidR="00935B47" w:rsidRDefault="00935B47" w:rsidP="00935B47">
      <w:pPr>
        <w:spacing w:before="80" w:after="120"/>
        <w:jc w:val="both"/>
      </w:pPr>
      <w:r>
        <w:rPr>
          <w:rFonts w:ascii="Arial" w:eastAsia="Arial" w:hAnsi="Arial" w:cs="Arial"/>
        </w:rPr>
        <w:t>The problem is that these compliance obligations are currently handled separately. No single tool brings together FRIA generation, cybersecurity threat modelling, explainability reporting, risk scoring, and automated bias detection into one unified workflow. This project addresses that gap by following a Design Science Research (DSR) methodology as defined by Hevner et al. [44] and Peffers et al. [45] to design, build, and evaluate a unified compliance prototype for credit scoring AI systems.</w:t>
      </w:r>
    </w:p>
    <w:p w14:paraId="05C7093C" w14:textId="77777777" w:rsidR="00935B47" w:rsidRDefault="00935B47" w:rsidP="00935B47">
      <w:pPr>
        <w:spacing w:before="80" w:after="120"/>
        <w:jc w:val="both"/>
      </w:pPr>
      <w:r>
        <w:rPr>
          <w:rFonts w:ascii="Arial" w:eastAsia="Arial" w:hAnsi="Arial" w:cs="Arial"/>
        </w:rPr>
        <w:t>This review covers ten core technical areas. It begins with the EU AI Act, then examines FRIA methodology, AI cybersecurity threat modelling, credit scoring risks, knowledge graphs, explainable AI, risk scoring frameworks, bias detection, and finally existing compliance tools, before identifying the research gap this project fills.</w:t>
      </w:r>
    </w:p>
    <w:p w14:paraId="03A6EACC" w14:textId="77777777" w:rsidR="00935B47" w:rsidRDefault="00935B47" w:rsidP="00935B47">
      <w:pPr>
        <w:pStyle w:val="Heading1"/>
        <w:rPr>
          <w:rFonts w:ascii="Arial" w:eastAsia="Arial" w:hAnsi="Arial" w:cs="Arial"/>
          <w:b/>
          <w:bCs/>
        </w:rPr>
      </w:pPr>
    </w:p>
    <w:p w14:paraId="5BB6B246" w14:textId="7469386F" w:rsidR="00935B47" w:rsidRPr="0048283B" w:rsidRDefault="00935B47" w:rsidP="00935B47">
      <w:pPr>
        <w:pStyle w:val="Heading1"/>
        <w:rPr>
          <w:color w:val="auto"/>
        </w:rPr>
      </w:pPr>
      <w:bookmarkStart w:id="1" w:name="_Toc230337254"/>
      <w:r w:rsidRPr="0048283B">
        <w:rPr>
          <w:rFonts w:ascii="Arial" w:eastAsia="Arial" w:hAnsi="Arial" w:cs="Arial"/>
          <w:b/>
          <w:bCs/>
          <w:color w:val="auto"/>
        </w:rPr>
        <w:t>2. EU AI Act and High-Risk AI Systems</w:t>
      </w:r>
      <w:bookmarkEnd w:id="1"/>
    </w:p>
    <w:p w14:paraId="0AE20C36" w14:textId="77777777" w:rsidR="00935B47" w:rsidRPr="0048283B" w:rsidRDefault="00935B47" w:rsidP="00935B47">
      <w:pPr>
        <w:pStyle w:val="Heading2"/>
        <w:rPr>
          <w:color w:val="auto"/>
        </w:rPr>
      </w:pPr>
      <w:bookmarkStart w:id="2" w:name="_Toc230337255"/>
      <w:r w:rsidRPr="0048283B">
        <w:rPr>
          <w:rFonts w:ascii="Arial" w:eastAsia="Arial" w:hAnsi="Arial" w:cs="Arial"/>
          <w:b/>
          <w:bCs/>
          <w:color w:val="auto"/>
        </w:rPr>
        <w:t>2.1 Overview of the EU AI Act</w:t>
      </w:r>
      <w:bookmarkEnd w:id="2"/>
    </w:p>
    <w:p w14:paraId="1CFB32DC" w14:textId="77777777" w:rsidR="00935B47" w:rsidRDefault="00935B47" w:rsidP="00935B47">
      <w:pPr>
        <w:spacing w:before="80" w:after="120"/>
        <w:jc w:val="both"/>
      </w:pPr>
      <w:r>
        <w:rPr>
          <w:rFonts w:ascii="Arial" w:eastAsia="Arial" w:hAnsi="Arial" w:cs="Arial"/>
        </w:rPr>
        <w:t>The EU AI Act (Regulation 2024/1689) is the world's first binding legal framework for artificial intelligence. It was signed into law on 12 July 2024 and entered into force on 1 August 2024 [1]. The Act uses a risk-based approach, classifying AI systems into four categories: unacceptable risk, high risk, limited risk, and minimal risk. High-risk AI systems face the strictest requirements including risk management (Article 9), data governance (Article 10), technical documentation (Article 11), event logging (Article 12), transparency and explainability (Article 13), human oversight (Article 14), and cybersecurity robustness (Article 15) [1].</w:t>
      </w:r>
    </w:p>
    <w:p w14:paraId="6BDAE116" w14:textId="77777777" w:rsidR="00935B47" w:rsidRDefault="00935B47" w:rsidP="00935B47">
      <w:pPr>
        <w:spacing w:before="80" w:after="120"/>
        <w:jc w:val="both"/>
      </w:pPr>
      <w:r>
        <w:rPr>
          <w:rFonts w:ascii="Arial" w:eastAsia="Arial" w:hAnsi="Arial" w:cs="Arial"/>
        </w:rPr>
        <w:t>Deployers of high-risk AI in certain sectors must also complete a Fundamental Rights Impact Assessment before first use (Article 27) [1]. Non-compliance can result in fines of up to 30 million euros or 6% of global annual turnover, whichever is higher [1].</w:t>
      </w:r>
    </w:p>
    <w:p w14:paraId="46F9E78D" w14:textId="77777777" w:rsidR="00935B47" w:rsidRPr="0048283B" w:rsidRDefault="00935B47" w:rsidP="00935B47">
      <w:pPr>
        <w:pStyle w:val="Heading2"/>
        <w:rPr>
          <w:color w:val="auto"/>
        </w:rPr>
      </w:pPr>
      <w:bookmarkStart w:id="3" w:name="_Toc230337256"/>
      <w:r w:rsidRPr="0048283B">
        <w:rPr>
          <w:rFonts w:ascii="Arial" w:eastAsia="Arial" w:hAnsi="Arial" w:cs="Arial"/>
          <w:b/>
          <w:bCs/>
          <w:color w:val="auto"/>
        </w:rPr>
        <w:t>2.2 High-Risk AI and Credit Scoring</w:t>
      </w:r>
      <w:bookmarkEnd w:id="3"/>
    </w:p>
    <w:p w14:paraId="7C34EF0D" w14:textId="77777777" w:rsidR="00935B47" w:rsidRDefault="00935B47" w:rsidP="00935B47">
      <w:pPr>
        <w:spacing w:before="80" w:after="120"/>
        <w:jc w:val="both"/>
      </w:pPr>
      <w:r>
        <w:rPr>
          <w:rFonts w:ascii="Arial" w:eastAsia="Arial" w:hAnsi="Arial" w:cs="Arial"/>
        </w:rPr>
        <w:t>Annex III of the EU AI Act explicitly names credit scoring under point 5(b), covering AI systems used to evaluate the creditworthiness of natural persons or establish their credit score [1]. This means any bank, financial institution, or fintech company using AI to decide on loans or credit cards must comply with all high-risk requirements.</w:t>
      </w:r>
    </w:p>
    <w:p w14:paraId="15C3B5F8" w14:textId="77777777" w:rsidR="00935B47" w:rsidRPr="0048283B" w:rsidRDefault="00935B47" w:rsidP="00935B47">
      <w:pPr>
        <w:pStyle w:val="Heading2"/>
        <w:rPr>
          <w:color w:val="auto"/>
        </w:rPr>
      </w:pPr>
      <w:bookmarkStart w:id="4" w:name="_Toc230337257"/>
      <w:r w:rsidRPr="0048283B">
        <w:rPr>
          <w:rFonts w:ascii="Arial" w:eastAsia="Arial" w:hAnsi="Arial" w:cs="Arial"/>
          <w:b/>
          <w:bCs/>
          <w:color w:val="auto"/>
        </w:rPr>
        <w:lastRenderedPageBreak/>
        <w:t>2.3 Existing Compliance Frameworks and Their Limitations</w:t>
      </w:r>
      <w:bookmarkEnd w:id="4"/>
    </w:p>
    <w:p w14:paraId="1028A278" w14:textId="77777777" w:rsidR="00935B47" w:rsidRDefault="00935B47" w:rsidP="00935B47">
      <w:pPr>
        <w:spacing w:before="80" w:after="120"/>
        <w:jc w:val="both"/>
      </w:pPr>
      <w:r>
        <w:rPr>
          <w:rFonts w:ascii="Arial" w:eastAsia="Arial" w:hAnsi="Arial" w:cs="Arial"/>
        </w:rPr>
        <w:t>The NIST AI Risk Management Framework (AI RMF 1.0) provides a voluntary, sector-agnostic approach using four functions: GOVERN, MAP, MEASURE, and MANAGE [5]. While widely respected, it is not legally binding and does not produce the specific FRIA or Article 15 documentation the EU AI Act requires. ISO/IEC 42001:2023 is the first certifiable AI management system standard but its requirements are generic and not tailored to credit scoring or EU-specific obligations [6]. Soler Garrido et al. confirm that these frameworks complement the AI Act without replacing its specific compliance artefacts [3]. Hernandez et al. developed the Trustworthy AI Requirements Ontology (TAIR) to bridge AI Act clauses with harmonised standards, but this remains a research prototype [4].</w:t>
      </w:r>
    </w:p>
    <w:p w14:paraId="12DDEEB4" w14:textId="77777777" w:rsidR="00935B47" w:rsidRDefault="00935B47" w:rsidP="00935B47">
      <w:pPr>
        <w:pStyle w:val="Heading1"/>
        <w:rPr>
          <w:rFonts w:ascii="Arial" w:eastAsia="Arial" w:hAnsi="Arial" w:cs="Arial"/>
          <w:b/>
          <w:bCs/>
        </w:rPr>
      </w:pPr>
    </w:p>
    <w:p w14:paraId="120659D3" w14:textId="358A39F3" w:rsidR="00935B47" w:rsidRPr="0048283B" w:rsidRDefault="00935B47" w:rsidP="00935B47">
      <w:pPr>
        <w:pStyle w:val="Heading1"/>
        <w:rPr>
          <w:color w:val="auto"/>
        </w:rPr>
      </w:pPr>
      <w:bookmarkStart w:id="5" w:name="_Toc230337258"/>
      <w:r w:rsidRPr="0048283B">
        <w:rPr>
          <w:rFonts w:ascii="Arial" w:eastAsia="Arial" w:hAnsi="Arial" w:cs="Arial"/>
          <w:b/>
          <w:bCs/>
          <w:color w:val="auto"/>
        </w:rPr>
        <w:t>3. Fundamental Rights Impact Assessment</w:t>
      </w:r>
      <w:bookmarkEnd w:id="5"/>
    </w:p>
    <w:p w14:paraId="18B0AF00" w14:textId="77777777" w:rsidR="00935B47" w:rsidRPr="0048283B" w:rsidRDefault="00935B47" w:rsidP="00935B47">
      <w:pPr>
        <w:pStyle w:val="Heading2"/>
        <w:rPr>
          <w:color w:val="auto"/>
        </w:rPr>
      </w:pPr>
      <w:bookmarkStart w:id="6" w:name="_Toc230337259"/>
      <w:r w:rsidRPr="0048283B">
        <w:rPr>
          <w:rFonts w:ascii="Arial" w:eastAsia="Arial" w:hAnsi="Arial" w:cs="Arial"/>
          <w:b/>
          <w:bCs/>
          <w:color w:val="auto"/>
        </w:rPr>
        <w:t>3.1 Definition and Legal Background</w:t>
      </w:r>
      <w:bookmarkEnd w:id="6"/>
    </w:p>
    <w:p w14:paraId="4D365815" w14:textId="77777777" w:rsidR="00935B47" w:rsidRDefault="00935B47" w:rsidP="00935B47">
      <w:pPr>
        <w:spacing w:before="80" w:after="120"/>
        <w:jc w:val="both"/>
      </w:pPr>
      <w:r>
        <w:rPr>
          <w:rFonts w:ascii="Arial" w:eastAsia="Arial" w:hAnsi="Arial" w:cs="Arial"/>
        </w:rPr>
        <w:t xml:space="preserve">A Fundamental Rights Impact Assessment (FRIA) is a structured process to identify and evaluate potential impacts of an AI system on fundamental rights protected under the EU Charter of Fundamental Rights, including the right to privacy, non-discrimination, and effective remedy. </w:t>
      </w:r>
      <w:proofErr w:type="spellStart"/>
      <w:r>
        <w:rPr>
          <w:rFonts w:ascii="Arial" w:eastAsia="Arial" w:hAnsi="Arial" w:cs="Arial"/>
        </w:rPr>
        <w:t>Mantelero</w:t>
      </w:r>
      <w:proofErr w:type="spellEnd"/>
      <w:r>
        <w:rPr>
          <w:rFonts w:ascii="Arial" w:eastAsia="Arial" w:hAnsi="Arial" w:cs="Arial"/>
        </w:rPr>
        <w:t xml:space="preserve"> provides the most thorough academic analysis of the FRIA in the AI Act context, arguing it is a substantive obligation requiring genuine rights analysis rather than procedural box-ticking [2]. Janssen, Seng Ah Lee, and Singh developed one of the earliest practical FRIA models combining legal and sociotechnical risk assessment [7].</w:t>
      </w:r>
    </w:p>
    <w:p w14:paraId="38DE099A" w14:textId="77777777" w:rsidR="00935B47" w:rsidRDefault="00935B47" w:rsidP="00935B47">
      <w:pPr>
        <w:spacing w:before="80" w:after="120"/>
        <w:jc w:val="both"/>
      </w:pPr>
      <w:r>
        <w:rPr>
          <w:rFonts w:ascii="Arial" w:eastAsia="Arial" w:hAnsi="Arial" w:cs="Arial"/>
        </w:rPr>
        <w:t>Article 27(5) of the EU AI Act states the AI Office shall develop a questionnaire template, including through an automated tool, to facilitate deployer compliance [1]. This directly invites the kind of tool this dissertation proposes. Article 27(4) allows reuse of an existing GDPR DPIA to partially satisfy the FRIA obligation [1]. Rintamaki and Pandit confirm the two frameworks overlap but are not identical, and DPIA artefacts must be supplemented [13].</w:t>
      </w:r>
    </w:p>
    <w:p w14:paraId="392328F8" w14:textId="77777777" w:rsidR="00935B47" w:rsidRPr="0048283B" w:rsidRDefault="00935B47" w:rsidP="00935B47">
      <w:pPr>
        <w:pStyle w:val="Heading2"/>
        <w:rPr>
          <w:color w:val="auto"/>
        </w:rPr>
      </w:pPr>
      <w:bookmarkStart w:id="7" w:name="_Toc230337260"/>
      <w:r w:rsidRPr="0048283B">
        <w:rPr>
          <w:rFonts w:ascii="Arial" w:eastAsia="Arial" w:hAnsi="Arial" w:cs="Arial"/>
          <w:b/>
          <w:bCs/>
          <w:color w:val="auto"/>
        </w:rPr>
        <w:t>3.2 Automation and Ontology-Based Approaches</w:t>
      </w:r>
      <w:bookmarkEnd w:id="7"/>
    </w:p>
    <w:p w14:paraId="14E78BA3" w14:textId="77777777" w:rsidR="00935B47" w:rsidRDefault="00935B47" w:rsidP="00935B47">
      <w:pPr>
        <w:spacing w:before="80" w:after="120"/>
        <w:jc w:val="both"/>
      </w:pPr>
      <w:r>
        <w:rPr>
          <w:rFonts w:ascii="Arial" w:eastAsia="Arial" w:hAnsi="Arial" w:cs="Arial"/>
        </w:rPr>
        <w:t xml:space="preserve">Rintamaki and Pandit (arXiv:2501.14756) formalise the FRIA as an automated five-step information process and show which DPIA artefacts can be reused [8]. In a companion paper (arXiv:2501.10391), they introduce an OWL2 FRIA ontology interoperable with the W3C DPV [9]. </w:t>
      </w:r>
      <w:proofErr w:type="spellStart"/>
      <w:r>
        <w:rPr>
          <w:rFonts w:ascii="Arial" w:eastAsia="Arial" w:hAnsi="Arial" w:cs="Arial"/>
        </w:rPr>
        <w:t>Inverardi</w:t>
      </w:r>
      <w:proofErr w:type="spellEnd"/>
      <w:r>
        <w:rPr>
          <w:rFonts w:ascii="Arial" w:eastAsia="Arial" w:hAnsi="Arial" w:cs="Arial"/>
        </w:rPr>
        <w:t xml:space="preserve"> et al. apply quantitative fairness metrics to FRIA evaluation at IJCNN 2024 [10]. Calvi and </w:t>
      </w:r>
      <w:proofErr w:type="spellStart"/>
      <w:r>
        <w:rPr>
          <w:rFonts w:ascii="Arial" w:eastAsia="Arial" w:hAnsi="Arial" w:cs="Arial"/>
        </w:rPr>
        <w:t>Kotzinos</w:t>
      </w:r>
      <w:proofErr w:type="spellEnd"/>
      <w:r>
        <w:rPr>
          <w:rFonts w:ascii="Arial" w:eastAsia="Arial" w:hAnsi="Arial" w:cs="Arial"/>
        </w:rPr>
        <w:t xml:space="preserve"> warn that technical fairness metrics cannot fully substitute for the broader legal analysis a FRIA requires [11]. EDPB Opinion 28/2024 clarifies that data anonymisation thresholds for AI models must be assessed case-by-case, directly affecting how credit scoring FRIAs document data processing risks [12].</w:t>
      </w:r>
    </w:p>
    <w:p w14:paraId="11E4A204" w14:textId="77777777" w:rsidR="00935B47" w:rsidRDefault="00935B47" w:rsidP="00935B47">
      <w:pPr>
        <w:pStyle w:val="Heading2"/>
      </w:pPr>
      <w:bookmarkStart w:id="8" w:name="_Toc230337261"/>
      <w:r>
        <w:rPr>
          <w:rFonts w:ascii="Arial" w:eastAsia="Arial" w:hAnsi="Arial" w:cs="Arial"/>
          <w:b/>
          <w:bCs/>
        </w:rPr>
        <w:t>3.3 Limitations of Current FRIA Approaches</w:t>
      </w:r>
      <w:bookmarkEnd w:id="8"/>
    </w:p>
    <w:p w14:paraId="5C48CB59" w14:textId="4ADE55E3" w:rsidR="00935B47" w:rsidRPr="00935B47" w:rsidRDefault="00935B47" w:rsidP="00935B47">
      <w:pPr>
        <w:spacing w:before="80" w:after="120"/>
        <w:jc w:val="both"/>
      </w:pPr>
      <w:r>
        <w:rPr>
          <w:rFonts w:ascii="Arial" w:eastAsia="Arial" w:hAnsi="Arial" w:cs="Arial"/>
        </w:rPr>
        <w:t>Four key limitations emerge. First, most FRIA approaches are descriptive rather than evaluative, listing affected rights without evidence of impact [2]. Second, significant information asymmetry exists between AI providers and deployers [2]. Third, no open-source production-ready FRIA tool exists comparable to the CNIL DPIA software [9]. Fourth, existing frameworks are sector-blind and ignore credit-scoring-specific risks such as proxy discrimination through alternative data [10].</w:t>
      </w:r>
    </w:p>
    <w:p w14:paraId="1D875858" w14:textId="69D2EFDC" w:rsidR="00935B47" w:rsidRPr="0048283B" w:rsidRDefault="00935B47" w:rsidP="00935B47">
      <w:pPr>
        <w:pStyle w:val="Heading1"/>
        <w:rPr>
          <w:color w:val="auto"/>
        </w:rPr>
      </w:pPr>
      <w:bookmarkStart w:id="9" w:name="_Toc230337262"/>
      <w:r w:rsidRPr="0048283B">
        <w:rPr>
          <w:rFonts w:ascii="Arial" w:eastAsia="Arial" w:hAnsi="Arial" w:cs="Arial"/>
          <w:b/>
          <w:bCs/>
          <w:color w:val="auto"/>
        </w:rPr>
        <w:lastRenderedPageBreak/>
        <w:t>4. AI Cybersecurity Threat Modelling</w:t>
      </w:r>
      <w:bookmarkEnd w:id="9"/>
    </w:p>
    <w:p w14:paraId="6C54F9A3" w14:textId="77777777" w:rsidR="00935B47" w:rsidRPr="0048283B" w:rsidRDefault="00935B47" w:rsidP="00935B47">
      <w:pPr>
        <w:pStyle w:val="Heading2"/>
        <w:rPr>
          <w:color w:val="auto"/>
        </w:rPr>
      </w:pPr>
      <w:bookmarkStart w:id="10" w:name="_Toc230337263"/>
      <w:r w:rsidRPr="0048283B">
        <w:rPr>
          <w:rFonts w:ascii="Arial" w:eastAsia="Arial" w:hAnsi="Arial" w:cs="Arial"/>
          <w:b/>
          <w:bCs/>
          <w:color w:val="auto"/>
        </w:rPr>
        <w:t>4.1 STRIDE and STRIDE-AI</w:t>
      </w:r>
      <w:bookmarkEnd w:id="10"/>
    </w:p>
    <w:p w14:paraId="12F9E1F8" w14:textId="77777777" w:rsidR="00935B47" w:rsidRDefault="00935B47" w:rsidP="00935B47">
      <w:pPr>
        <w:spacing w:before="80" w:after="120"/>
        <w:jc w:val="both"/>
      </w:pPr>
      <w:r>
        <w:rPr>
          <w:rFonts w:ascii="Arial" w:eastAsia="Arial" w:hAnsi="Arial" w:cs="Arial"/>
        </w:rPr>
        <w:t>STRIDE is a Microsoft threat modelling framework categorising threats as Spoofing, Tampering, Repudiation, Information Disclosure, Denial of Service, and Elevation of Privilege [16]. Khan et al. demonstrate its cost-effectiveness for identifying threats at design time [16]. Mauri and Damiani extended STRIDE to STRIDE-AI at IEEE CSR 2021 [14] and in Sensors 2022 [15], mapping each category to ML-specific assets including training datasets, model weights, and inference endpoints. In 2026, Cyrille and Schwarz further extended STRIDE-AI for generative AI threats [17]. STRIDE-AI maps directly to the five threat classes in Article 15(5) of the EU AI Act.</w:t>
      </w:r>
    </w:p>
    <w:p w14:paraId="175EB566" w14:textId="77777777" w:rsidR="00935B47" w:rsidRPr="0048283B" w:rsidRDefault="00935B47" w:rsidP="00935B47">
      <w:pPr>
        <w:pStyle w:val="Heading2"/>
        <w:rPr>
          <w:color w:val="auto"/>
        </w:rPr>
      </w:pPr>
      <w:bookmarkStart w:id="11" w:name="_Toc230337264"/>
      <w:r w:rsidRPr="0048283B">
        <w:rPr>
          <w:rFonts w:ascii="Arial" w:eastAsia="Arial" w:hAnsi="Arial" w:cs="Arial"/>
          <w:b/>
          <w:bCs/>
          <w:color w:val="auto"/>
        </w:rPr>
        <w:t>4.2 MITRE ATLAS</w:t>
      </w:r>
      <w:bookmarkEnd w:id="11"/>
    </w:p>
    <w:p w14:paraId="2761B66A" w14:textId="77777777" w:rsidR="00935B47" w:rsidRDefault="00935B47" w:rsidP="00935B47">
      <w:pPr>
        <w:spacing w:before="80" w:after="120"/>
        <w:jc w:val="both"/>
      </w:pPr>
      <w:r>
        <w:rPr>
          <w:rFonts w:ascii="Arial" w:eastAsia="Arial" w:hAnsi="Arial" w:cs="Arial"/>
        </w:rPr>
        <w:t>MITRE ATLAS is a knowledge base of real-world adversarial attacks against AI systems, first released in October 2020 by Microsoft, MITRE, and eleven industry partners [18]. Version 5.1.0 (November 2025) contains 16 tactics, 84 techniques, 56 sub-techniques, 32 mitigations, and 42 real-world case studies [19]. All five threat classes in Article 15(5) of the EU AI Act map directly to ATLAS tactics. MITRE's SAFE-AI framework maps ATLAS techniques to NIST AI RMF steps, providing a bridge between threat intelligence and risk management [20].</w:t>
      </w:r>
    </w:p>
    <w:p w14:paraId="6A9FC85D" w14:textId="77777777" w:rsidR="00935B47" w:rsidRPr="0048283B" w:rsidRDefault="00935B47" w:rsidP="00935B47">
      <w:pPr>
        <w:pStyle w:val="Heading2"/>
        <w:rPr>
          <w:color w:val="auto"/>
        </w:rPr>
      </w:pPr>
      <w:bookmarkStart w:id="12" w:name="_Toc230337265"/>
      <w:r w:rsidRPr="0048283B">
        <w:rPr>
          <w:rFonts w:ascii="Arial" w:eastAsia="Arial" w:hAnsi="Arial" w:cs="Arial"/>
          <w:b/>
          <w:bCs/>
          <w:color w:val="auto"/>
        </w:rPr>
        <w:t>4.3 ENISA AI Cybersecurity Framework</w:t>
      </w:r>
      <w:bookmarkEnd w:id="12"/>
    </w:p>
    <w:p w14:paraId="0ED6790C" w14:textId="77777777" w:rsidR="00935B47" w:rsidRDefault="00935B47" w:rsidP="00935B47">
      <w:pPr>
        <w:spacing w:before="80" w:after="120"/>
        <w:jc w:val="both"/>
      </w:pPr>
      <w:r>
        <w:rPr>
          <w:rFonts w:ascii="Arial" w:eastAsia="Arial" w:hAnsi="Arial" w:cs="Arial"/>
        </w:rPr>
        <w:t>ENISA's Multilayer Framework for Good Cybersecurity Practices for AI (FAICP), published June 2023, provides three layers of AI-specific security controls explicitly aligned to the EU AI Act, MITRE ATLAS, and NIST AI RMF [21]. Layer II covers AI-specific controls including defending against adversarial inputs and securing training pipelines. The FAICP serves as the source of recommended mitigations in this project's cybersecurity threat model output.</w:t>
      </w:r>
    </w:p>
    <w:p w14:paraId="54EE6BFE" w14:textId="77777777" w:rsidR="00935B47" w:rsidRPr="0048283B" w:rsidRDefault="00935B47" w:rsidP="00935B47">
      <w:pPr>
        <w:pStyle w:val="Heading2"/>
        <w:rPr>
          <w:color w:val="auto"/>
        </w:rPr>
      </w:pPr>
      <w:bookmarkStart w:id="13" w:name="_Toc230337266"/>
      <w:r w:rsidRPr="0048283B">
        <w:rPr>
          <w:rFonts w:ascii="Arial" w:eastAsia="Arial" w:hAnsi="Arial" w:cs="Arial"/>
          <w:b/>
          <w:bCs/>
          <w:color w:val="auto"/>
        </w:rPr>
        <w:t>4.4 Adversarial ML Threats and Toolkits</w:t>
      </w:r>
      <w:bookmarkEnd w:id="13"/>
    </w:p>
    <w:p w14:paraId="59B1D6AC" w14:textId="77777777" w:rsidR="00935B47" w:rsidRDefault="00935B47" w:rsidP="00935B47">
      <w:pPr>
        <w:spacing w:before="80" w:after="120"/>
        <w:jc w:val="both"/>
      </w:pPr>
      <w:r>
        <w:rPr>
          <w:rFonts w:ascii="Arial" w:eastAsia="Arial" w:hAnsi="Arial" w:cs="Arial"/>
        </w:rPr>
        <w:t xml:space="preserve">The four canonical adversarial ML threats are evasion, poisoning, membership inference, and model extraction. Biggio and Roli provide the foundational survey in Pattern Recognition (2018) [22], and Cina et al. update this in ACM Computing Surveys (2023) [23]. Biggio, Nelson, and </w:t>
      </w:r>
      <w:proofErr w:type="spellStart"/>
      <w:r>
        <w:rPr>
          <w:rFonts w:ascii="Arial" w:eastAsia="Arial" w:hAnsi="Arial" w:cs="Arial"/>
        </w:rPr>
        <w:t>Laskov</w:t>
      </w:r>
      <w:proofErr w:type="spellEnd"/>
      <w:r>
        <w:rPr>
          <w:rFonts w:ascii="Arial" w:eastAsia="Arial" w:hAnsi="Arial" w:cs="Arial"/>
        </w:rPr>
        <w:t xml:space="preserve"> demonstrated at ICML 2012 that SVMs used in credit scoring can be poisoned [24]. Tian et al. and Goldblum et al. confirm tabular financial classifiers remain vulnerable to label-flipping and feature-manipulation attacks [25], [26]. IBM ART (arXiv:1807.01069) provides 39 attack and 29 defence modules across all four threat types [27].</w:t>
      </w:r>
    </w:p>
    <w:p w14:paraId="00A5E6AD" w14:textId="77777777" w:rsidR="00935B47" w:rsidRDefault="00935B47" w:rsidP="00935B47">
      <w:pPr>
        <w:pStyle w:val="Heading1"/>
        <w:rPr>
          <w:rFonts w:ascii="Arial" w:eastAsia="Arial" w:hAnsi="Arial" w:cs="Arial"/>
          <w:b/>
          <w:bCs/>
        </w:rPr>
      </w:pPr>
    </w:p>
    <w:p w14:paraId="1951BBDB" w14:textId="6FADFBE8" w:rsidR="00935B47" w:rsidRPr="0048283B" w:rsidRDefault="00935B47" w:rsidP="00935B47">
      <w:pPr>
        <w:pStyle w:val="Heading1"/>
        <w:rPr>
          <w:color w:val="auto"/>
        </w:rPr>
      </w:pPr>
      <w:bookmarkStart w:id="14" w:name="_Toc230337267"/>
      <w:r w:rsidRPr="0048283B">
        <w:rPr>
          <w:rFonts w:ascii="Arial" w:eastAsia="Arial" w:hAnsi="Arial" w:cs="Arial"/>
          <w:b/>
          <w:bCs/>
          <w:color w:val="auto"/>
        </w:rPr>
        <w:t>5. Credit Scoring AI: Risks and Regulation</w:t>
      </w:r>
      <w:bookmarkEnd w:id="14"/>
    </w:p>
    <w:p w14:paraId="6FA085DD" w14:textId="77777777" w:rsidR="00935B47" w:rsidRPr="0048283B" w:rsidRDefault="00935B47" w:rsidP="00935B47">
      <w:pPr>
        <w:pStyle w:val="Heading2"/>
        <w:rPr>
          <w:color w:val="auto"/>
        </w:rPr>
      </w:pPr>
      <w:bookmarkStart w:id="15" w:name="_Toc230337268"/>
      <w:r w:rsidRPr="0048283B">
        <w:rPr>
          <w:rFonts w:ascii="Arial" w:eastAsia="Arial" w:hAnsi="Arial" w:cs="Arial"/>
          <w:b/>
          <w:bCs/>
          <w:color w:val="auto"/>
        </w:rPr>
        <w:t>5.1 AI in Credit Scoring</w:t>
      </w:r>
      <w:bookmarkEnd w:id="15"/>
    </w:p>
    <w:p w14:paraId="7C3C7029" w14:textId="77777777" w:rsidR="00935B47" w:rsidRDefault="00935B47" w:rsidP="00935B47">
      <w:pPr>
        <w:spacing w:before="80" w:after="120"/>
        <w:jc w:val="both"/>
      </w:pPr>
      <w:r>
        <w:rPr>
          <w:rFonts w:ascii="Arial" w:eastAsia="Arial" w:hAnsi="Arial" w:cs="Arial"/>
        </w:rPr>
        <w:t>Credit scoring has moved from logistic regression on structured financial data to gradient-boosted trees and neural networks processing thousands of alternative data points including social media activity and mobile phone usage. While newer models can improve predictive accuracy, their complexity conflicts with Article 13 transparency requirements and GDPR Article 22 rights to explanation. Their reliance on alternative data raises proxy discrimination concerns, where neutral-seeming variables act as stand-ins for protected characteristics such as ethnicity or socioeconomic status.</w:t>
      </w:r>
    </w:p>
    <w:p w14:paraId="35A7BEEB" w14:textId="77777777" w:rsidR="00935B47" w:rsidRPr="0048283B" w:rsidRDefault="00935B47" w:rsidP="00935B47">
      <w:pPr>
        <w:pStyle w:val="Heading2"/>
        <w:rPr>
          <w:color w:val="auto"/>
        </w:rPr>
      </w:pPr>
      <w:bookmarkStart w:id="16" w:name="_Toc230337269"/>
      <w:r w:rsidRPr="0048283B">
        <w:rPr>
          <w:rFonts w:ascii="Arial" w:eastAsia="Arial" w:hAnsi="Arial" w:cs="Arial"/>
          <w:b/>
          <w:bCs/>
          <w:color w:val="auto"/>
        </w:rPr>
        <w:lastRenderedPageBreak/>
        <w:t>5.2 Bias and Fairness in Credit AI</w:t>
      </w:r>
      <w:bookmarkEnd w:id="16"/>
    </w:p>
    <w:p w14:paraId="7F54181B" w14:textId="77777777" w:rsidR="00935B47" w:rsidRDefault="00935B47" w:rsidP="00935B47">
      <w:pPr>
        <w:spacing w:before="80" w:after="120"/>
        <w:jc w:val="both"/>
      </w:pPr>
      <w:proofErr w:type="spellStart"/>
      <w:r>
        <w:rPr>
          <w:rFonts w:ascii="Arial" w:eastAsia="Arial" w:hAnsi="Arial" w:cs="Arial"/>
        </w:rPr>
        <w:t>Kozodoi</w:t>
      </w:r>
      <w:proofErr w:type="spellEnd"/>
      <w:r>
        <w:rPr>
          <w:rFonts w:ascii="Arial" w:eastAsia="Arial" w:hAnsi="Arial" w:cs="Arial"/>
        </w:rPr>
        <w:t>, Jacob, and Lessmann demonstrate in the European Journal of Operational Research (2022) that optimising for accuracy consistently produces models discriminating against women, older applicants, and minority backgrounds, and quantify the fairness-profit trade-off [28]. The 2019 Apple Card controversy, in which Goldman Sachs assigned credit limits twenty times higher to male card holders than their wives despite joint tax filings, led to a New York DFS investigation that identified significant transparency deficiencies [29]. Lefebvre et al. benchmark twelve bias mitigation methods on the German Credit dataset and find no single method dominates all fairness and accuracy metrics simultaneously [30].</w:t>
      </w:r>
    </w:p>
    <w:p w14:paraId="582DC2BC" w14:textId="77777777" w:rsidR="00935B47" w:rsidRPr="0048283B" w:rsidRDefault="00935B47" w:rsidP="00935B47">
      <w:pPr>
        <w:pStyle w:val="Heading2"/>
        <w:rPr>
          <w:color w:val="auto"/>
        </w:rPr>
      </w:pPr>
      <w:bookmarkStart w:id="17" w:name="_Toc230337270"/>
      <w:r w:rsidRPr="0048283B">
        <w:rPr>
          <w:rFonts w:ascii="Arial" w:eastAsia="Arial" w:hAnsi="Arial" w:cs="Arial"/>
          <w:b/>
          <w:bCs/>
          <w:color w:val="auto"/>
        </w:rPr>
        <w:t>5.3 Regulatory Context</w:t>
      </w:r>
      <w:bookmarkEnd w:id="17"/>
    </w:p>
    <w:p w14:paraId="6E949B1C" w14:textId="77777777" w:rsidR="00935B47" w:rsidRDefault="00935B47" w:rsidP="00935B47">
      <w:pPr>
        <w:spacing w:before="80" w:after="120"/>
        <w:jc w:val="both"/>
      </w:pPr>
      <w:r>
        <w:rPr>
          <w:rFonts w:ascii="Arial" w:eastAsia="Arial" w:hAnsi="Arial" w:cs="Arial"/>
        </w:rPr>
        <w:t>EBA/GL/2020/06 imposes data governance and model validation requirements on banks using automated creditworthiness models [33]. The EBA Discussion Paper on Machine Learning for IRB Models (2022) adds explainability and bias testing expectations [34]. The German Credit (</w:t>
      </w:r>
      <w:proofErr w:type="spellStart"/>
      <w:r>
        <w:rPr>
          <w:rFonts w:ascii="Arial" w:eastAsia="Arial" w:hAnsi="Arial" w:cs="Arial"/>
        </w:rPr>
        <w:t>Statlog</w:t>
      </w:r>
      <w:proofErr w:type="spellEnd"/>
      <w:r>
        <w:rPr>
          <w:rFonts w:ascii="Arial" w:eastAsia="Arial" w:hAnsi="Arial" w:cs="Arial"/>
        </w:rPr>
        <w:t xml:space="preserve">) dataset (UCI, 1994) with 1,000 records and 20 features remains the standard benchmark [31]. </w:t>
      </w:r>
      <w:proofErr w:type="spellStart"/>
      <w:r>
        <w:rPr>
          <w:rFonts w:ascii="Arial" w:eastAsia="Arial" w:hAnsi="Arial" w:cs="Arial"/>
        </w:rPr>
        <w:t>Coraglia</w:t>
      </w:r>
      <w:proofErr w:type="spellEnd"/>
      <w:r>
        <w:rPr>
          <w:rFonts w:ascii="Arial" w:eastAsia="Arial" w:hAnsi="Arial" w:cs="Arial"/>
        </w:rPr>
        <w:t xml:space="preserve"> et al. evaluated AI fairness on this same dataset using the BRIO tool in 2024, providing a directly comparable baseline [32].</w:t>
      </w:r>
    </w:p>
    <w:p w14:paraId="495E89EE" w14:textId="77777777" w:rsidR="00935B47" w:rsidRDefault="00935B47" w:rsidP="00935B47">
      <w:pPr>
        <w:pStyle w:val="Heading1"/>
        <w:rPr>
          <w:rFonts w:ascii="Arial" w:eastAsia="Arial" w:hAnsi="Arial" w:cs="Arial"/>
          <w:b/>
          <w:bCs/>
        </w:rPr>
      </w:pPr>
    </w:p>
    <w:p w14:paraId="2728E825" w14:textId="778F23D5" w:rsidR="00935B47" w:rsidRPr="0048283B" w:rsidRDefault="00935B47" w:rsidP="00935B47">
      <w:pPr>
        <w:pStyle w:val="Heading1"/>
        <w:rPr>
          <w:color w:val="auto"/>
        </w:rPr>
      </w:pPr>
      <w:bookmarkStart w:id="18" w:name="_Toc230337271"/>
      <w:r w:rsidRPr="0048283B">
        <w:rPr>
          <w:rFonts w:ascii="Arial" w:eastAsia="Arial" w:hAnsi="Arial" w:cs="Arial"/>
          <w:b/>
          <w:bCs/>
          <w:color w:val="auto"/>
        </w:rPr>
        <w:t>6. Knowledge Graphs for Compliance Automation</w:t>
      </w:r>
      <w:bookmarkEnd w:id="18"/>
    </w:p>
    <w:p w14:paraId="675E9D05" w14:textId="77777777" w:rsidR="00935B47" w:rsidRPr="0048283B" w:rsidRDefault="00935B47" w:rsidP="00935B47">
      <w:pPr>
        <w:pStyle w:val="Heading2"/>
        <w:rPr>
          <w:color w:val="auto"/>
        </w:rPr>
      </w:pPr>
      <w:bookmarkStart w:id="19" w:name="_Toc230337272"/>
      <w:r w:rsidRPr="0048283B">
        <w:rPr>
          <w:rFonts w:ascii="Arial" w:eastAsia="Arial" w:hAnsi="Arial" w:cs="Arial"/>
          <w:b/>
          <w:bCs/>
          <w:color w:val="auto"/>
        </w:rPr>
        <w:t>6.1 Legal Knowledge Graphs</w:t>
      </w:r>
      <w:bookmarkEnd w:id="19"/>
    </w:p>
    <w:p w14:paraId="33BAB0E5" w14:textId="77777777" w:rsidR="00935B47" w:rsidRDefault="00935B47" w:rsidP="00935B47">
      <w:pPr>
        <w:spacing w:before="80" w:after="120"/>
        <w:jc w:val="both"/>
      </w:pPr>
      <w:r>
        <w:rPr>
          <w:rFonts w:ascii="Arial" w:eastAsia="Arial" w:hAnsi="Arial" w:cs="Arial"/>
        </w:rPr>
        <w:t>Knowledge graphs store facts as connected nodes and relationships, making them ideal for legal reasoning where rules depend on networks of concepts and cross-references. The Lynx H2020 project demonstrated legal knowledge graphs for GDPR contract compliance [36]. Garza et al. extended this with Policy Knowledge Graphs showing graph-based traversal can automatically identify relevant legal obligations from a given fact pattern [35]. These approaches underpin this project's use of a Neo4j knowledge graph to connect user questionnaire inputs to specific EU AI Act articles and MITRE ATLAS threat entries.</w:t>
      </w:r>
    </w:p>
    <w:p w14:paraId="1C210022" w14:textId="77777777" w:rsidR="00935B47" w:rsidRPr="0048283B" w:rsidRDefault="00935B47" w:rsidP="00935B47">
      <w:pPr>
        <w:pStyle w:val="Heading2"/>
        <w:rPr>
          <w:color w:val="auto"/>
        </w:rPr>
      </w:pPr>
      <w:bookmarkStart w:id="20" w:name="_Toc230337273"/>
      <w:r w:rsidRPr="0048283B">
        <w:rPr>
          <w:rFonts w:ascii="Arial" w:eastAsia="Arial" w:hAnsi="Arial" w:cs="Arial"/>
          <w:b/>
          <w:bCs/>
          <w:color w:val="auto"/>
        </w:rPr>
        <w:t>6.2 W3C Data Privacy Vocabulary</w:t>
      </w:r>
      <w:bookmarkEnd w:id="20"/>
    </w:p>
    <w:p w14:paraId="390EE202" w14:textId="77777777" w:rsidR="00935B47" w:rsidRDefault="00935B47" w:rsidP="00935B47">
      <w:pPr>
        <w:spacing w:before="80" w:after="120"/>
        <w:jc w:val="both"/>
      </w:pPr>
      <w:r>
        <w:rPr>
          <w:rFonts w:ascii="Arial" w:eastAsia="Arial" w:hAnsi="Arial" w:cs="Arial"/>
        </w:rPr>
        <w:t>DPV v2 (Pandit et al., ISWC 2024) is the most comprehensive open vocabulary for personal data processing metadata, with extensions for GDPR, the EU AI Act, and AI risk [38]. Using DPV as the semantic backbone means the tool's data model can absorb future AI Act secondary legislation by extending DPV concepts rather than rebuilding logic.</w:t>
      </w:r>
    </w:p>
    <w:p w14:paraId="0B012F69" w14:textId="77777777" w:rsidR="00935B47" w:rsidRPr="0048283B" w:rsidRDefault="00935B47" w:rsidP="00935B47">
      <w:pPr>
        <w:pStyle w:val="Heading2"/>
        <w:rPr>
          <w:color w:val="auto"/>
        </w:rPr>
      </w:pPr>
      <w:bookmarkStart w:id="21" w:name="_Toc230337274"/>
      <w:r w:rsidRPr="0048283B">
        <w:rPr>
          <w:rFonts w:ascii="Arial" w:eastAsia="Arial" w:hAnsi="Arial" w:cs="Arial"/>
          <w:b/>
          <w:bCs/>
          <w:color w:val="auto"/>
        </w:rPr>
        <w:t>6.3 AIRO and VAIR Ontologies</w:t>
      </w:r>
      <w:bookmarkEnd w:id="21"/>
    </w:p>
    <w:p w14:paraId="115B9FAC" w14:textId="681DD461" w:rsidR="00935B47" w:rsidRDefault="00935B47" w:rsidP="006E3F5F">
      <w:pPr>
        <w:spacing w:before="80" w:after="120"/>
        <w:jc w:val="both"/>
        <w:rPr>
          <w:rFonts w:ascii="Arial" w:eastAsia="Arial" w:hAnsi="Arial" w:cs="Arial"/>
        </w:rPr>
      </w:pPr>
      <w:r>
        <w:rPr>
          <w:rFonts w:ascii="Arial" w:eastAsia="Arial" w:hAnsi="Arial" w:cs="Arial"/>
        </w:rPr>
        <w:t>AIRO (</w:t>
      </w:r>
      <w:proofErr w:type="spellStart"/>
      <w:r>
        <w:rPr>
          <w:rFonts w:ascii="Arial" w:eastAsia="Arial" w:hAnsi="Arial" w:cs="Arial"/>
        </w:rPr>
        <w:t>Golpayegani</w:t>
      </w:r>
      <w:proofErr w:type="spellEnd"/>
      <w:r>
        <w:rPr>
          <w:rFonts w:ascii="Arial" w:eastAsia="Arial" w:hAnsi="Arial" w:cs="Arial"/>
        </w:rPr>
        <w:t xml:space="preserve"> et al., </w:t>
      </w:r>
      <w:proofErr w:type="spellStart"/>
      <w:r>
        <w:rPr>
          <w:rFonts w:ascii="Arial" w:eastAsia="Arial" w:hAnsi="Arial" w:cs="Arial"/>
        </w:rPr>
        <w:t>SEMANTiCS</w:t>
      </w:r>
      <w:proofErr w:type="spellEnd"/>
      <w:r>
        <w:rPr>
          <w:rFonts w:ascii="Arial" w:eastAsia="Arial" w:hAnsi="Arial" w:cs="Arial"/>
        </w:rPr>
        <w:t xml:space="preserve"> 2022) is an OWL2 ontology for AI risks grounded in the EU AI Act and ISO risk management standards [39]. VAIR extends AIRO with a structured catalogue of specific risks and harm severity levels [40]. </w:t>
      </w:r>
      <w:proofErr w:type="spellStart"/>
      <w:r>
        <w:rPr>
          <w:rFonts w:ascii="Arial" w:eastAsia="Arial" w:hAnsi="Arial" w:cs="Arial"/>
        </w:rPr>
        <w:t>Golpayegani</w:t>
      </w:r>
      <w:proofErr w:type="spellEnd"/>
      <w:r>
        <w:rPr>
          <w:rFonts w:ascii="Arial" w:eastAsia="Arial" w:hAnsi="Arial" w:cs="Arial"/>
        </w:rPr>
        <w:t xml:space="preserve"> et al. further developed the AI Cards framework at APF 2024 for machine-readable AI documentation aligned to Article 11 and Annex IV [41]. These ontologies form the semantic vocabulary for the FRIA module of the proposed tool.</w:t>
      </w:r>
    </w:p>
    <w:p w14:paraId="778CE5F3" w14:textId="77777777" w:rsidR="006E3F5F" w:rsidRPr="006E3F5F" w:rsidRDefault="006E3F5F" w:rsidP="006E3F5F">
      <w:pPr>
        <w:spacing w:before="80" w:after="120"/>
        <w:jc w:val="both"/>
        <w:rPr>
          <w:rFonts w:ascii="Arial" w:eastAsia="Arial" w:hAnsi="Arial" w:cs="Arial"/>
        </w:rPr>
      </w:pPr>
    </w:p>
    <w:p w14:paraId="17E40800" w14:textId="297890E6" w:rsidR="00935B47" w:rsidRPr="0048283B" w:rsidRDefault="00935B47" w:rsidP="00935B47">
      <w:pPr>
        <w:pStyle w:val="Heading1"/>
        <w:rPr>
          <w:color w:val="auto"/>
        </w:rPr>
      </w:pPr>
      <w:bookmarkStart w:id="22" w:name="_Toc230337275"/>
      <w:r w:rsidRPr="0048283B">
        <w:rPr>
          <w:rFonts w:ascii="Arial" w:eastAsia="Arial" w:hAnsi="Arial" w:cs="Arial"/>
          <w:b/>
          <w:bCs/>
          <w:color w:val="auto"/>
        </w:rPr>
        <w:lastRenderedPageBreak/>
        <w:t>7. Explainable AI for Credit Scoring Compliance</w:t>
      </w:r>
      <w:bookmarkEnd w:id="22"/>
    </w:p>
    <w:p w14:paraId="2213B494" w14:textId="77777777" w:rsidR="00935B47" w:rsidRPr="0048283B" w:rsidRDefault="00935B47" w:rsidP="00935B47">
      <w:pPr>
        <w:pStyle w:val="Heading2"/>
        <w:rPr>
          <w:color w:val="auto"/>
        </w:rPr>
      </w:pPr>
      <w:bookmarkStart w:id="23" w:name="_Toc230337276"/>
      <w:r w:rsidRPr="0048283B">
        <w:rPr>
          <w:rFonts w:ascii="Arial" w:eastAsia="Arial" w:hAnsi="Arial" w:cs="Arial"/>
          <w:b/>
          <w:bCs/>
          <w:color w:val="auto"/>
        </w:rPr>
        <w:t>7.1 What is XAI and Why it Matters</w:t>
      </w:r>
      <w:bookmarkEnd w:id="23"/>
    </w:p>
    <w:p w14:paraId="69035DAA" w14:textId="77777777" w:rsidR="00935B47" w:rsidRDefault="00935B47" w:rsidP="00935B47">
      <w:pPr>
        <w:spacing w:before="80" w:after="120"/>
        <w:jc w:val="both"/>
      </w:pPr>
      <w:r>
        <w:rPr>
          <w:rFonts w:ascii="Arial" w:eastAsia="Arial" w:hAnsi="Arial" w:cs="Arial"/>
        </w:rPr>
        <w:t>Explainable AI (XAI) refers to methods and techniques that make the decisions of AI systems understandable to humans. Arrieta et al. provide the most comprehensive taxonomy of XAI in Information Fusion (2020), classifying approaches by their scope, methodology, and target audience across both intrinsically interpretable models and post-hoc explanation methods [46]. The need for XAI in credit scoring is both regulatory and ethical: when an AI system denies someone a loan, that person has a legal right under GDPR Article 22 to receive a meaningful explanation, and Article 13 of the EU AI Act requires high-risk AI systems to provide information sufficient for deployers to correctly interpret the system's output [1].</w:t>
      </w:r>
    </w:p>
    <w:p w14:paraId="412D4309" w14:textId="77777777" w:rsidR="00935B47" w:rsidRDefault="00935B47" w:rsidP="00935B47">
      <w:pPr>
        <w:spacing w:before="80" w:after="120"/>
        <w:jc w:val="both"/>
      </w:pPr>
      <w:r>
        <w:rPr>
          <w:rFonts w:ascii="Arial" w:eastAsia="Arial" w:hAnsi="Arial" w:cs="Arial"/>
        </w:rPr>
        <w:t xml:space="preserve">Rudin argues in Nature Machine Intelligence (2019) that for high-stakes decisions such as credit scoring, healthcare, and criminal justice, organisations should use inherently interpretable models rather than post-hoc explanations of black-box models [47]. She contends that post-hoc explanations such as SHAP or LIME can be misleading and may not accurately reflect the model's actual decision process. This creates an important design tension for this project: the tool must produce explainability outputs that satisfy Article 13 while acknowledging the limitations of post-hoc methods. </w:t>
      </w:r>
      <w:proofErr w:type="spellStart"/>
      <w:r>
        <w:rPr>
          <w:rFonts w:ascii="Arial" w:eastAsia="Arial" w:hAnsi="Arial" w:cs="Arial"/>
        </w:rPr>
        <w:t>Gyevnar</w:t>
      </w:r>
      <w:proofErr w:type="spellEnd"/>
      <w:r>
        <w:rPr>
          <w:rFonts w:ascii="Arial" w:eastAsia="Arial" w:hAnsi="Arial" w:cs="Arial"/>
        </w:rPr>
        <w:t>, Ferguson, and Schafer identify this same tension as the transparency gap between what the EU AI Act requires and what current XAI research delivers [48].</w:t>
      </w:r>
    </w:p>
    <w:p w14:paraId="007188EA" w14:textId="77777777" w:rsidR="00935B47" w:rsidRPr="0048283B" w:rsidRDefault="00935B47" w:rsidP="00935B47">
      <w:pPr>
        <w:pStyle w:val="Heading2"/>
        <w:rPr>
          <w:color w:val="auto"/>
        </w:rPr>
      </w:pPr>
      <w:bookmarkStart w:id="24" w:name="_Toc230337277"/>
      <w:r w:rsidRPr="0048283B">
        <w:rPr>
          <w:rFonts w:ascii="Arial" w:eastAsia="Arial" w:hAnsi="Arial" w:cs="Arial"/>
          <w:b/>
          <w:bCs/>
          <w:color w:val="auto"/>
        </w:rPr>
        <w:t>7.2 SHAP and LIME</w:t>
      </w:r>
      <w:bookmarkEnd w:id="24"/>
    </w:p>
    <w:p w14:paraId="1E9E27EA" w14:textId="77777777" w:rsidR="00935B47" w:rsidRDefault="00935B47" w:rsidP="00935B47">
      <w:pPr>
        <w:spacing w:before="80" w:after="120"/>
        <w:jc w:val="both"/>
      </w:pPr>
      <w:r>
        <w:rPr>
          <w:rFonts w:ascii="Arial" w:eastAsia="Arial" w:hAnsi="Arial" w:cs="Arial"/>
        </w:rPr>
        <w:t>The two most widely used post-hoc XAI methods are SHAP and LIME. Lundberg and Lee introduced SHAP (</w:t>
      </w:r>
      <w:proofErr w:type="spellStart"/>
      <w:r>
        <w:rPr>
          <w:rFonts w:ascii="Arial" w:eastAsia="Arial" w:hAnsi="Arial" w:cs="Arial"/>
        </w:rPr>
        <w:t>SHapley</w:t>
      </w:r>
      <w:proofErr w:type="spellEnd"/>
      <w:r>
        <w:rPr>
          <w:rFonts w:ascii="Arial" w:eastAsia="Arial" w:hAnsi="Arial" w:cs="Arial"/>
        </w:rPr>
        <w:t xml:space="preserve"> Additive </w:t>
      </w:r>
      <w:proofErr w:type="spellStart"/>
      <w:r>
        <w:rPr>
          <w:rFonts w:ascii="Arial" w:eastAsia="Arial" w:hAnsi="Arial" w:cs="Arial"/>
        </w:rPr>
        <w:t>exPlanations</w:t>
      </w:r>
      <w:proofErr w:type="spellEnd"/>
      <w:r>
        <w:rPr>
          <w:rFonts w:ascii="Arial" w:eastAsia="Arial" w:hAnsi="Arial" w:cs="Arial"/>
        </w:rPr>
        <w:t xml:space="preserve">) in </w:t>
      </w:r>
      <w:proofErr w:type="spellStart"/>
      <w:r>
        <w:rPr>
          <w:rFonts w:ascii="Arial" w:eastAsia="Arial" w:hAnsi="Arial" w:cs="Arial"/>
        </w:rPr>
        <w:t>NeurIPS</w:t>
      </w:r>
      <w:proofErr w:type="spellEnd"/>
      <w:r>
        <w:rPr>
          <w:rFonts w:ascii="Arial" w:eastAsia="Arial" w:hAnsi="Arial" w:cs="Arial"/>
        </w:rPr>
        <w:t xml:space="preserve"> 2017, grounding feature importance calculation in cooperative game theory through Shapley values [49]. SHAP satisfies three desirable properties: local accuracy (matching the original model for a specific instance), missingness (zero importance to absent features), and consistency (higher importance when a feature has more model impact). Ribeiro, Singh, and </w:t>
      </w:r>
      <w:proofErr w:type="spellStart"/>
      <w:r>
        <w:rPr>
          <w:rFonts w:ascii="Arial" w:eastAsia="Arial" w:hAnsi="Arial" w:cs="Arial"/>
        </w:rPr>
        <w:t>Guestrin</w:t>
      </w:r>
      <w:proofErr w:type="spellEnd"/>
      <w:r>
        <w:rPr>
          <w:rFonts w:ascii="Arial" w:eastAsia="Arial" w:hAnsi="Arial" w:cs="Arial"/>
        </w:rPr>
        <w:t xml:space="preserve"> introduced LIME (Local Interpretable Model-agnostic Explanations) at ACM SIGKDD 2016, explaining individual predictions by approximating the black-box model locally with a simpler interpretable model [50].</w:t>
      </w:r>
    </w:p>
    <w:p w14:paraId="346E0A9C" w14:textId="77777777" w:rsidR="00935B47" w:rsidRDefault="00935B47" w:rsidP="00935B47">
      <w:pPr>
        <w:spacing w:before="80" w:after="120"/>
        <w:jc w:val="both"/>
      </w:pPr>
      <w:r>
        <w:rPr>
          <w:rFonts w:ascii="Arial" w:eastAsia="Arial" w:hAnsi="Arial" w:cs="Arial"/>
        </w:rPr>
        <w:t>In the credit scoring domain, SHAP is considered the stronger choice because it provides consistent, theoretically grounded attributions for tabular data. Bussmann et al. applied SHAP to credit decisions in peer-to-peer lending and found it could effectively identify the most influential features driving individual loan approvals and rejections. Dumitrescu et al. conducted a systematic review of XAI in finance across 138 articles from 2005 to 2022 in Artificial Intelligence Review (2024) and found credit management to be the most frequent financial XAI application, with SHAP dominating as the method of choice [51].</w:t>
      </w:r>
    </w:p>
    <w:p w14:paraId="7C99D667" w14:textId="77777777" w:rsidR="00935B47" w:rsidRPr="00646ABE" w:rsidRDefault="00935B47" w:rsidP="00935B47">
      <w:pPr>
        <w:pStyle w:val="Heading2"/>
        <w:rPr>
          <w:color w:val="auto"/>
        </w:rPr>
      </w:pPr>
      <w:bookmarkStart w:id="25" w:name="_Toc230337278"/>
      <w:r w:rsidRPr="00646ABE">
        <w:rPr>
          <w:rFonts w:ascii="Arial" w:eastAsia="Arial" w:hAnsi="Arial" w:cs="Arial"/>
          <w:b/>
          <w:bCs/>
          <w:color w:val="auto"/>
        </w:rPr>
        <w:t>7.3 XAI and the EU AI Act</w:t>
      </w:r>
      <w:bookmarkEnd w:id="25"/>
    </w:p>
    <w:p w14:paraId="34C319CE" w14:textId="77777777" w:rsidR="00935B47" w:rsidRDefault="00935B47" w:rsidP="00935B47">
      <w:pPr>
        <w:spacing w:before="80" w:after="120"/>
        <w:jc w:val="both"/>
      </w:pPr>
      <w:r>
        <w:rPr>
          <w:rFonts w:ascii="Arial" w:eastAsia="Arial" w:hAnsi="Arial" w:cs="Arial"/>
        </w:rPr>
        <w:t xml:space="preserve">Article 13 of the EU AI Act requires high-risk AI providers to supply deployers with information about the system's characteristics, capabilities, and limitations sufficient to correctly interpret its outputs [1]. This operationalises the GDPR's Article 22 right to explanation in the context of automated credit decisions. </w:t>
      </w:r>
      <w:proofErr w:type="spellStart"/>
      <w:r>
        <w:rPr>
          <w:rFonts w:ascii="Arial" w:eastAsia="Arial" w:hAnsi="Arial" w:cs="Arial"/>
        </w:rPr>
        <w:t>Gyevnar</w:t>
      </w:r>
      <w:proofErr w:type="spellEnd"/>
      <w:r>
        <w:rPr>
          <w:rFonts w:ascii="Arial" w:eastAsia="Arial" w:hAnsi="Arial" w:cs="Arial"/>
        </w:rPr>
        <w:t xml:space="preserve"> et al. identify a fundamental gap between how the AI Act views transparency (as a means to support accountability and human rights) and how the XAI research community views it (as a technical property of algorithms) [48]. The tool proposed in this dissertation addresses this gap by generating an explainability report that links SHAP feature importance outputs to specific Article 13 compliance obligations, framing technical outputs in legally meaningful terms for compliance officers and deployers.</w:t>
      </w:r>
    </w:p>
    <w:p w14:paraId="3BC1B0C1" w14:textId="77777777" w:rsidR="00935B47" w:rsidRPr="00646ABE" w:rsidRDefault="00935B47" w:rsidP="00935B47">
      <w:pPr>
        <w:pStyle w:val="Heading2"/>
        <w:rPr>
          <w:color w:val="auto"/>
        </w:rPr>
      </w:pPr>
      <w:bookmarkStart w:id="26" w:name="_Toc230337279"/>
      <w:r w:rsidRPr="00646ABE">
        <w:rPr>
          <w:rFonts w:ascii="Arial" w:eastAsia="Arial" w:hAnsi="Arial" w:cs="Arial"/>
          <w:b/>
          <w:bCs/>
          <w:color w:val="auto"/>
        </w:rPr>
        <w:lastRenderedPageBreak/>
        <w:t>7.4 Limitations of XAI for Regulatory Compliance</w:t>
      </w:r>
      <w:bookmarkEnd w:id="26"/>
    </w:p>
    <w:p w14:paraId="10A6A971" w14:textId="77777777" w:rsidR="00935B47" w:rsidRDefault="00935B47" w:rsidP="00935B47">
      <w:pPr>
        <w:spacing w:before="80" w:after="120"/>
        <w:jc w:val="both"/>
      </w:pPr>
      <w:r>
        <w:rPr>
          <w:rFonts w:ascii="Arial" w:eastAsia="Arial" w:hAnsi="Arial" w:cs="Arial"/>
        </w:rPr>
        <w:t xml:space="preserve">Several important limitations constrain the use of XAI for regulatory compliance. First, SHAP and LIME can produce different and sometimes contradictory explanations for the same prediction, undermining their reliability as legal evidence [48]. Second, Rudin's critique remains unresolved: post-hoc explanations of complex models may not reflect the actual decision process, making them potentially misleading in a legal context [47]. Third, the EU AI Act does not specify which XAI methods are legally sufficient, creating uncertainty about what level of explanation satisfies Article 13. The tool in this dissertation presents explainability outputs as supporting evidence for compliance review rather than as definitive legal proof, in line with </w:t>
      </w:r>
      <w:proofErr w:type="spellStart"/>
      <w:r>
        <w:rPr>
          <w:rFonts w:ascii="Arial" w:eastAsia="Arial" w:hAnsi="Arial" w:cs="Arial"/>
        </w:rPr>
        <w:t>Gyevnar</w:t>
      </w:r>
      <w:proofErr w:type="spellEnd"/>
      <w:r>
        <w:rPr>
          <w:rFonts w:ascii="Arial" w:eastAsia="Arial" w:hAnsi="Arial" w:cs="Arial"/>
        </w:rPr>
        <w:t xml:space="preserve"> et al.'s recommendation to treat XAI as enabling human oversight rather than replacing it [48].</w:t>
      </w:r>
    </w:p>
    <w:p w14:paraId="17F552B1" w14:textId="77777777" w:rsidR="00935B47" w:rsidRDefault="00935B47" w:rsidP="00935B47">
      <w:pPr>
        <w:pStyle w:val="Heading1"/>
        <w:rPr>
          <w:rFonts w:ascii="Arial" w:eastAsia="Arial" w:hAnsi="Arial" w:cs="Arial"/>
          <w:b/>
          <w:bCs/>
        </w:rPr>
      </w:pPr>
    </w:p>
    <w:p w14:paraId="122B79B7" w14:textId="03095457" w:rsidR="00935B47" w:rsidRPr="00646ABE" w:rsidRDefault="00935B47" w:rsidP="00935B47">
      <w:pPr>
        <w:pStyle w:val="Heading1"/>
        <w:rPr>
          <w:color w:val="auto"/>
        </w:rPr>
      </w:pPr>
      <w:bookmarkStart w:id="27" w:name="_Toc230337280"/>
      <w:r w:rsidRPr="00646ABE">
        <w:rPr>
          <w:rFonts w:ascii="Arial" w:eastAsia="Arial" w:hAnsi="Arial" w:cs="Arial"/>
          <w:b/>
          <w:bCs/>
          <w:color w:val="auto"/>
        </w:rPr>
        <w:t>8. AI Risk Scoring and Severity Assessment</w:t>
      </w:r>
      <w:bookmarkEnd w:id="27"/>
    </w:p>
    <w:p w14:paraId="28E91781" w14:textId="77777777" w:rsidR="00935B47" w:rsidRPr="00646ABE" w:rsidRDefault="00935B47" w:rsidP="00935B47">
      <w:pPr>
        <w:pStyle w:val="Heading2"/>
        <w:rPr>
          <w:color w:val="auto"/>
        </w:rPr>
      </w:pPr>
      <w:bookmarkStart w:id="28" w:name="_Toc230337281"/>
      <w:r w:rsidRPr="00646ABE">
        <w:rPr>
          <w:rFonts w:ascii="Arial" w:eastAsia="Arial" w:hAnsi="Arial" w:cs="Arial"/>
          <w:b/>
          <w:bCs/>
          <w:color w:val="auto"/>
        </w:rPr>
        <w:t>8.1 Risk Scoring Frameworks</w:t>
      </w:r>
      <w:bookmarkEnd w:id="28"/>
    </w:p>
    <w:p w14:paraId="11378848" w14:textId="77777777" w:rsidR="00935B47" w:rsidRDefault="00935B47" w:rsidP="00935B47">
      <w:pPr>
        <w:spacing w:before="80" w:after="120"/>
        <w:jc w:val="both"/>
      </w:pPr>
      <w:r>
        <w:rPr>
          <w:rFonts w:ascii="Arial" w:eastAsia="Arial" w:hAnsi="Arial" w:cs="Arial"/>
        </w:rPr>
        <w:t>Risk scoring translates qualitative risk assessments into structured, measurable outputs that can be tracked, compared, and acted upon. ISO 31000:2018 is the international standard for risk management, providing principles and guidelines for structured risk identification, analysis, and evaluation applicable across any sector including AI governance [52]. It defines risk as the effect of uncertainty on objectives and recommends expressing risk as a combination of likelihood and consequence severity, providing the foundational formula for any quantitative risk dashboard. The NIST AI RMF builds on ISO 31000 principles and applies them specifically to AI systems, using the MEASURE function to evaluate AI risks through quantitative and qualitative methods including bias testing, adversarial testing, and impact assessment [5].</w:t>
      </w:r>
    </w:p>
    <w:p w14:paraId="1A73F286" w14:textId="77777777" w:rsidR="00935B47" w:rsidRDefault="00935B47" w:rsidP="00935B47">
      <w:pPr>
        <w:spacing w:before="80" w:after="120"/>
        <w:jc w:val="both"/>
      </w:pPr>
      <w:r>
        <w:rPr>
          <w:rFonts w:ascii="Arial" w:eastAsia="Arial" w:hAnsi="Arial" w:cs="Arial"/>
        </w:rPr>
        <w:t xml:space="preserve">A key finding from a 2025 </w:t>
      </w:r>
      <w:proofErr w:type="spellStart"/>
      <w:r>
        <w:rPr>
          <w:rFonts w:ascii="Arial" w:eastAsia="Arial" w:hAnsi="Arial" w:cs="Arial"/>
        </w:rPr>
        <w:t>arXiv</w:t>
      </w:r>
      <w:proofErr w:type="spellEnd"/>
      <w:r>
        <w:rPr>
          <w:rFonts w:ascii="Arial" w:eastAsia="Arial" w:hAnsi="Arial" w:cs="Arial"/>
        </w:rPr>
        <w:t xml:space="preserve"> study by Sridhar et al. on standardised AI threat taxonomy is that most current AI governance frameworks mandate risk assessment but leave the specific quantification methodology to organisational discretion, resulting in subjective heat maps rather than rigorous quantitative analysis [53]. Their work proposes Monte Carlo simulation for financial AI risk exposure quantification and demonstrates explicit mappings between ISO/IEC 42001 controls, NIST AI RMF functions, and quantified risk scores. This provides the academic basis for this project's risk scoring dashboard, which converts the identified FRIA obligations and cybersecurity threats into severity-scored outputs on a red-amber-green scale.</w:t>
      </w:r>
    </w:p>
    <w:p w14:paraId="6D2BB347" w14:textId="77777777" w:rsidR="00935B47" w:rsidRPr="00646ABE" w:rsidRDefault="00935B47" w:rsidP="00935B47">
      <w:pPr>
        <w:pStyle w:val="Heading2"/>
        <w:rPr>
          <w:color w:val="auto"/>
        </w:rPr>
      </w:pPr>
      <w:bookmarkStart w:id="29" w:name="_Toc230337282"/>
      <w:r w:rsidRPr="00646ABE">
        <w:rPr>
          <w:rFonts w:ascii="Arial" w:eastAsia="Arial" w:hAnsi="Arial" w:cs="Arial"/>
          <w:b/>
          <w:bCs/>
          <w:color w:val="auto"/>
        </w:rPr>
        <w:t>8.2 Quantitative vs Qualitative Risk Assessment</w:t>
      </w:r>
      <w:bookmarkEnd w:id="29"/>
    </w:p>
    <w:p w14:paraId="40899843" w14:textId="77777777" w:rsidR="00935B47" w:rsidRDefault="00935B47" w:rsidP="00935B47">
      <w:pPr>
        <w:spacing w:before="80" w:after="120"/>
        <w:jc w:val="both"/>
      </w:pPr>
      <w:r>
        <w:rPr>
          <w:rFonts w:ascii="Arial" w:eastAsia="Arial" w:hAnsi="Arial" w:cs="Arial"/>
        </w:rPr>
        <w:t xml:space="preserve">Purely qualitative FRIA approaches, which describe risks in narrative terms without assigning severity levels, are one of the main limitations identified in the FRIA literature by </w:t>
      </w:r>
      <w:proofErr w:type="spellStart"/>
      <w:r>
        <w:rPr>
          <w:rFonts w:ascii="Arial" w:eastAsia="Arial" w:hAnsi="Arial" w:cs="Arial"/>
        </w:rPr>
        <w:t>Mantelero</w:t>
      </w:r>
      <w:proofErr w:type="spellEnd"/>
      <w:r>
        <w:rPr>
          <w:rFonts w:ascii="Arial" w:eastAsia="Arial" w:hAnsi="Arial" w:cs="Arial"/>
        </w:rPr>
        <w:t xml:space="preserve"> [2] and </w:t>
      </w:r>
      <w:proofErr w:type="spellStart"/>
      <w:r>
        <w:rPr>
          <w:rFonts w:ascii="Arial" w:eastAsia="Arial" w:hAnsi="Arial" w:cs="Arial"/>
        </w:rPr>
        <w:t>Inverardi</w:t>
      </w:r>
      <w:proofErr w:type="spellEnd"/>
      <w:r>
        <w:rPr>
          <w:rFonts w:ascii="Arial" w:eastAsia="Arial" w:hAnsi="Arial" w:cs="Arial"/>
        </w:rPr>
        <w:t xml:space="preserve"> et al. [10]. Quantitative risk scoring addresses this by mapping identified risks to a structured scale of likelihood and impact. For this project, each identified fundamental right impact and each cybersecurity threat is assigned a severity score based on three dimensions: probability of harm, severity of harm if it occurs, and breadth of population affected. These dimensions align directly with the risk management criteria in Article 9 of the EU AI Act, which requires consideration of the likelihood of harm, its severity, its reversibility, and the number of affected persons [1].</w:t>
      </w:r>
    </w:p>
    <w:p w14:paraId="79A32AB6" w14:textId="77777777" w:rsidR="00935B47" w:rsidRPr="00646ABE" w:rsidRDefault="00935B47" w:rsidP="00935B47">
      <w:pPr>
        <w:pStyle w:val="Heading2"/>
        <w:rPr>
          <w:color w:val="auto"/>
        </w:rPr>
      </w:pPr>
      <w:bookmarkStart w:id="30" w:name="_Toc230337283"/>
      <w:r w:rsidRPr="00646ABE">
        <w:rPr>
          <w:rFonts w:ascii="Arial" w:eastAsia="Arial" w:hAnsi="Arial" w:cs="Arial"/>
          <w:b/>
          <w:bCs/>
          <w:color w:val="auto"/>
        </w:rPr>
        <w:t>8.3 Risk Scoring in the EU AI Act Context</w:t>
      </w:r>
      <w:bookmarkEnd w:id="30"/>
    </w:p>
    <w:p w14:paraId="03AA894C" w14:textId="77777777" w:rsidR="00935B47" w:rsidRDefault="00935B47" w:rsidP="00935B47">
      <w:pPr>
        <w:spacing w:before="80" w:after="120"/>
        <w:jc w:val="both"/>
      </w:pPr>
      <w:r>
        <w:rPr>
          <w:rFonts w:ascii="Arial" w:eastAsia="Arial" w:hAnsi="Arial" w:cs="Arial"/>
        </w:rPr>
        <w:t xml:space="preserve">Article 9 of the EU AI Act requires providers to implement a risk management system that identifies, analyses, and evaluates known and reasonably foreseeable risks to health, safety, </w:t>
      </w:r>
      <w:r>
        <w:rPr>
          <w:rFonts w:ascii="Arial" w:eastAsia="Arial" w:hAnsi="Arial" w:cs="Arial"/>
        </w:rPr>
        <w:lastRenderedPageBreak/>
        <w:t>and fundamental rights [1]. The Act does not mandate a specific risk scoring methodology but requires that risks be evaluated on the basis of their likelihood and severity. This project's risk scoring dashboard operationalises Article 9 by automatically calculating a composite risk score for each identified threat and rights impact, displaying results as a colour-coded dashboard that compliance officers can use to prioritise remediation actions. This directly addresses the limitation identified by Sridhar et al. that existing frameworks leave quantification to organisational discretion [53].</w:t>
      </w:r>
    </w:p>
    <w:p w14:paraId="68BF72AB" w14:textId="77777777" w:rsidR="00935B47" w:rsidRDefault="00935B47" w:rsidP="00935B47">
      <w:pPr>
        <w:pStyle w:val="Heading1"/>
        <w:rPr>
          <w:rFonts w:ascii="Arial" w:eastAsia="Arial" w:hAnsi="Arial" w:cs="Arial"/>
          <w:b/>
          <w:bCs/>
        </w:rPr>
      </w:pPr>
    </w:p>
    <w:p w14:paraId="061F7FD7" w14:textId="397215EA" w:rsidR="00935B47" w:rsidRPr="00646ABE" w:rsidRDefault="00935B47" w:rsidP="00935B47">
      <w:pPr>
        <w:pStyle w:val="Heading1"/>
        <w:rPr>
          <w:color w:val="auto"/>
        </w:rPr>
      </w:pPr>
      <w:bookmarkStart w:id="31" w:name="_Toc230337284"/>
      <w:r w:rsidRPr="00646ABE">
        <w:rPr>
          <w:rFonts w:ascii="Arial" w:eastAsia="Arial" w:hAnsi="Arial" w:cs="Arial"/>
          <w:b/>
          <w:bCs/>
          <w:color w:val="auto"/>
        </w:rPr>
        <w:t>9. Bias Detection and Fairness Metrics</w:t>
      </w:r>
      <w:bookmarkEnd w:id="31"/>
    </w:p>
    <w:p w14:paraId="017807D8" w14:textId="77777777" w:rsidR="00935B47" w:rsidRPr="00646ABE" w:rsidRDefault="00935B47" w:rsidP="00935B47">
      <w:pPr>
        <w:pStyle w:val="Heading2"/>
        <w:rPr>
          <w:color w:val="auto"/>
        </w:rPr>
      </w:pPr>
      <w:bookmarkStart w:id="32" w:name="_Toc230337285"/>
      <w:r w:rsidRPr="00646ABE">
        <w:rPr>
          <w:rFonts w:ascii="Arial" w:eastAsia="Arial" w:hAnsi="Arial" w:cs="Arial"/>
          <w:b/>
          <w:bCs/>
          <w:color w:val="auto"/>
        </w:rPr>
        <w:t>9.1 Fairness Definitions and Metrics</w:t>
      </w:r>
      <w:bookmarkEnd w:id="32"/>
    </w:p>
    <w:p w14:paraId="74D18770" w14:textId="77777777" w:rsidR="00935B47" w:rsidRDefault="00935B47" w:rsidP="00935B47">
      <w:pPr>
        <w:spacing w:before="80" w:after="120"/>
        <w:jc w:val="both"/>
      </w:pPr>
      <w:r>
        <w:rPr>
          <w:rFonts w:ascii="Arial" w:eastAsia="Arial" w:hAnsi="Arial" w:cs="Arial"/>
        </w:rPr>
        <w:t xml:space="preserve">Algorithmic fairness is a multidimensional concept with no single universally agreed definition. Hardt, Price, and Srebro introduced equalised odds and equal opportunity as formal fairness criteria in </w:t>
      </w:r>
      <w:proofErr w:type="spellStart"/>
      <w:r>
        <w:rPr>
          <w:rFonts w:ascii="Arial" w:eastAsia="Arial" w:hAnsi="Arial" w:cs="Arial"/>
        </w:rPr>
        <w:t>NeurIPS</w:t>
      </w:r>
      <w:proofErr w:type="spellEnd"/>
      <w:r>
        <w:rPr>
          <w:rFonts w:ascii="Arial" w:eastAsia="Arial" w:hAnsi="Arial" w:cs="Arial"/>
        </w:rPr>
        <w:t xml:space="preserve"> 2016, showing that a fair classifier must have equal true positive and false positive rates across protected groups [54]. Applied to credit scoring, this means the model should be equally accurate at identifying good and bad risks across gender, age, and ethnicity groups. Demographic parity requires that the proportion of positive outcomes (loan approvals) is equal across protected groups regardless of actual creditworthiness. Disparate impact measures the ratio of positive outcome rates between the least and most favoured groups, with the widely used 80% rule (a ratio below 0.8 indicating potential discrimination) derived from US employment law and adopted informally in EU financial regulation.</w:t>
      </w:r>
    </w:p>
    <w:p w14:paraId="2545C6B5" w14:textId="77777777" w:rsidR="00935B47" w:rsidRDefault="00935B47" w:rsidP="00935B47">
      <w:pPr>
        <w:spacing w:before="80" w:after="120"/>
        <w:jc w:val="both"/>
      </w:pPr>
      <w:r>
        <w:rPr>
          <w:rFonts w:ascii="Arial" w:eastAsia="Arial" w:hAnsi="Arial" w:cs="Arial"/>
        </w:rPr>
        <w:t>These metrics are not interchangeable and can conflict. Hardt et al. prove that it is mathematically impossible to simultaneously satisfy demographic parity, equalised odds, and calibration in most real-world settings with unequal base rates across groups [54]. This means that choosing a fairness metric is itself a normative decision with legal implications under the EU AI Act and GDPR, and must be documented in the FRIA.</w:t>
      </w:r>
    </w:p>
    <w:p w14:paraId="00E4C5E1" w14:textId="77777777" w:rsidR="00935B47" w:rsidRPr="00646ABE" w:rsidRDefault="00935B47" w:rsidP="00935B47">
      <w:pPr>
        <w:pStyle w:val="Heading2"/>
        <w:rPr>
          <w:color w:val="auto"/>
        </w:rPr>
      </w:pPr>
      <w:bookmarkStart w:id="33" w:name="_Toc230337286"/>
      <w:r w:rsidRPr="00646ABE">
        <w:rPr>
          <w:rFonts w:ascii="Arial" w:eastAsia="Arial" w:hAnsi="Arial" w:cs="Arial"/>
          <w:b/>
          <w:bCs/>
          <w:color w:val="auto"/>
        </w:rPr>
        <w:t>9.2 Bias Detection Toolkits</w:t>
      </w:r>
      <w:bookmarkEnd w:id="33"/>
    </w:p>
    <w:p w14:paraId="6387FE16" w14:textId="77777777" w:rsidR="00935B47" w:rsidRDefault="00935B47" w:rsidP="00935B47">
      <w:pPr>
        <w:spacing w:before="80" w:after="120"/>
        <w:jc w:val="both"/>
      </w:pPr>
      <w:r>
        <w:rPr>
          <w:rFonts w:ascii="Arial" w:eastAsia="Arial" w:hAnsi="Arial" w:cs="Arial"/>
        </w:rPr>
        <w:t xml:space="preserve">Bellamy et al. introduced IBM AI Fairness 360 (AIF360) in 2018, an open-source Python toolkit providing over 70 fairness metrics and 11 bias mitigation algorithms covering pre-processing, in-processing, and post-processing approaches [55]. AIF360 directly supports the German Credit dataset and includes implementations of demographic parity, equalised odds, disparate impact, and statistical parity difference. It has become the de facto standard for academic bias evaluation in credit scoring research and is used in this project to generate the bias detection module outputs. Microsoft </w:t>
      </w:r>
      <w:proofErr w:type="spellStart"/>
      <w:r>
        <w:rPr>
          <w:rFonts w:ascii="Arial" w:eastAsia="Arial" w:hAnsi="Arial" w:cs="Arial"/>
        </w:rPr>
        <w:t>Fairlearn</w:t>
      </w:r>
      <w:proofErr w:type="spellEnd"/>
      <w:r>
        <w:rPr>
          <w:rFonts w:ascii="Arial" w:eastAsia="Arial" w:hAnsi="Arial" w:cs="Arial"/>
        </w:rPr>
        <w:t xml:space="preserve"> provides a complementary set of fairness constraints and visualisation tools that can be combined with AIF360 to produce a more complete bias assessment report.</w:t>
      </w:r>
    </w:p>
    <w:p w14:paraId="732B786B" w14:textId="77777777" w:rsidR="00935B47" w:rsidRPr="00646ABE" w:rsidRDefault="00935B47" w:rsidP="00935B47">
      <w:pPr>
        <w:pStyle w:val="Heading2"/>
        <w:rPr>
          <w:color w:val="auto"/>
        </w:rPr>
      </w:pPr>
      <w:bookmarkStart w:id="34" w:name="_Toc230337287"/>
      <w:r w:rsidRPr="00646ABE">
        <w:rPr>
          <w:rFonts w:ascii="Arial" w:eastAsia="Arial" w:hAnsi="Arial" w:cs="Arial"/>
          <w:b/>
          <w:bCs/>
          <w:color w:val="auto"/>
        </w:rPr>
        <w:t>9.3 Bias Detection and the FRIA</w:t>
      </w:r>
      <w:bookmarkEnd w:id="34"/>
    </w:p>
    <w:p w14:paraId="65B791C9" w14:textId="77777777" w:rsidR="00935B47" w:rsidRDefault="00935B47" w:rsidP="00935B47">
      <w:pPr>
        <w:spacing w:before="80" w:after="120"/>
        <w:jc w:val="both"/>
      </w:pPr>
      <w:r>
        <w:rPr>
          <w:rFonts w:ascii="Arial" w:eastAsia="Arial" w:hAnsi="Arial" w:cs="Arial"/>
        </w:rPr>
        <w:t xml:space="preserve">Article 10(5) of the EU AI Act creates an explicit legal basis to process GDPR Article 9 special-category data, including race and ethnicity, but only to the extent strictly necessary for bias detection and correction, with mandatory safeguards including pseudonymisation, access controls, no third-party transfer, and deletion after correction [1]. This means that the bias detection module of the compliance tool must not only calculate fairness metrics but also document compliance with Article 10(5) safeguards. The tool generates an Article 10(5) compliance checklist alongside the fairness metric outputs, linking the quantitative bias results to the FRIA's non-discrimination rights analysis. </w:t>
      </w:r>
      <w:proofErr w:type="spellStart"/>
      <w:r>
        <w:rPr>
          <w:rFonts w:ascii="Arial" w:eastAsia="Arial" w:hAnsi="Arial" w:cs="Arial"/>
        </w:rPr>
        <w:t>Kozodoi</w:t>
      </w:r>
      <w:proofErr w:type="spellEnd"/>
      <w:r>
        <w:rPr>
          <w:rFonts w:ascii="Arial" w:eastAsia="Arial" w:hAnsi="Arial" w:cs="Arial"/>
        </w:rPr>
        <w:t xml:space="preserve"> et al. confirm that this integration of </w:t>
      </w:r>
      <w:r>
        <w:rPr>
          <w:rFonts w:ascii="Arial" w:eastAsia="Arial" w:hAnsi="Arial" w:cs="Arial"/>
        </w:rPr>
        <w:lastRenderedPageBreak/>
        <w:t>bias metrics into rights impact assessment is necessary because quantitative fairness measurements alone do not constitute a FRIA [28].</w:t>
      </w:r>
    </w:p>
    <w:p w14:paraId="55F493FD" w14:textId="77777777" w:rsidR="00935B47" w:rsidRDefault="00935B47" w:rsidP="00935B47">
      <w:pPr>
        <w:pStyle w:val="Heading1"/>
        <w:rPr>
          <w:rFonts w:ascii="Arial" w:eastAsia="Arial" w:hAnsi="Arial" w:cs="Arial"/>
          <w:b/>
          <w:bCs/>
        </w:rPr>
      </w:pPr>
    </w:p>
    <w:p w14:paraId="710089F7" w14:textId="139F00F6" w:rsidR="00935B47" w:rsidRPr="00646ABE" w:rsidRDefault="00935B47" w:rsidP="00935B47">
      <w:pPr>
        <w:pStyle w:val="Heading1"/>
        <w:rPr>
          <w:color w:val="auto"/>
        </w:rPr>
      </w:pPr>
      <w:bookmarkStart w:id="35" w:name="_Toc230337288"/>
      <w:r w:rsidRPr="00646ABE">
        <w:rPr>
          <w:rFonts w:ascii="Arial" w:eastAsia="Arial" w:hAnsi="Arial" w:cs="Arial"/>
          <w:b/>
          <w:bCs/>
          <w:color w:val="auto"/>
        </w:rPr>
        <w:t>10. Existing Compliance Tools and the Research Gap</w:t>
      </w:r>
      <w:bookmarkEnd w:id="35"/>
    </w:p>
    <w:p w14:paraId="3CB9B980" w14:textId="77777777" w:rsidR="00935B47" w:rsidRPr="00646ABE" w:rsidRDefault="00935B47" w:rsidP="00935B47">
      <w:pPr>
        <w:pStyle w:val="Heading2"/>
        <w:rPr>
          <w:color w:val="auto"/>
        </w:rPr>
      </w:pPr>
      <w:bookmarkStart w:id="36" w:name="_Toc230337289"/>
      <w:r w:rsidRPr="00646ABE">
        <w:rPr>
          <w:rFonts w:ascii="Arial" w:eastAsia="Arial" w:hAnsi="Arial" w:cs="Arial"/>
          <w:b/>
          <w:bCs/>
          <w:color w:val="auto"/>
        </w:rPr>
        <w:t>10.1 Commercial Tools</w:t>
      </w:r>
      <w:bookmarkEnd w:id="36"/>
    </w:p>
    <w:p w14:paraId="3C0E2536" w14:textId="77777777" w:rsidR="00935B47" w:rsidRDefault="00935B47" w:rsidP="00935B47">
      <w:pPr>
        <w:spacing w:before="80" w:after="120"/>
        <w:jc w:val="both"/>
      </w:pPr>
      <w:r>
        <w:rPr>
          <w:rFonts w:ascii="Arial" w:eastAsia="Arial" w:hAnsi="Arial" w:cs="Arial"/>
        </w:rPr>
        <w:t xml:space="preserve">Commercial GRC platforms including </w:t>
      </w:r>
      <w:proofErr w:type="spellStart"/>
      <w:r>
        <w:rPr>
          <w:rFonts w:ascii="Arial" w:eastAsia="Arial" w:hAnsi="Arial" w:cs="Arial"/>
        </w:rPr>
        <w:t>OneTrust</w:t>
      </w:r>
      <w:proofErr w:type="spellEnd"/>
      <w:r>
        <w:rPr>
          <w:rFonts w:ascii="Arial" w:eastAsia="Arial" w:hAnsi="Arial" w:cs="Arial"/>
        </w:rPr>
        <w:t xml:space="preserve">, </w:t>
      </w:r>
      <w:proofErr w:type="spellStart"/>
      <w:r>
        <w:rPr>
          <w:rFonts w:ascii="Arial" w:eastAsia="Arial" w:hAnsi="Arial" w:cs="Arial"/>
        </w:rPr>
        <w:t>BigID</w:t>
      </w:r>
      <w:proofErr w:type="spellEnd"/>
      <w:r>
        <w:rPr>
          <w:rFonts w:ascii="Arial" w:eastAsia="Arial" w:hAnsi="Arial" w:cs="Arial"/>
        </w:rPr>
        <w:t>, and IBM OpenPages provide GDPR workflow management and general AI risk management but none produces EU AI Act specific FRIA outputs, none integrates cybersecurity threat modelling, and none includes XAI or bias detection modules. These platforms are also expensive and inaccessible to smaller public bodies and SMEs representing the majority of high-risk AI deployers.</w:t>
      </w:r>
    </w:p>
    <w:p w14:paraId="05B66DED" w14:textId="77777777" w:rsidR="00935B47" w:rsidRPr="00646ABE" w:rsidRDefault="00935B47" w:rsidP="00935B47">
      <w:pPr>
        <w:pStyle w:val="Heading2"/>
        <w:rPr>
          <w:color w:val="auto"/>
        </w:rPr>
      </w:pPr>
      <w:bookmarkStart w:id="37" w:name="_Toc230337290"/>
      <w:r w:rsidRPr="00646ABE">
        <w:rPr>
          <w:rFonts w:ascii="Arial" w:eastAsia="Arial" w:hAnsi="Arial" w:cs="Arial"/>
          <w:b/>
          <w:bCs/>
          <w:color w:val="auto"/>
        </w:rPr>
        <w:t>10.2 Academic Prototypes</w:t>
      </w:r>
      <w:bookmarkEnd w:id="37"/>
    </w:p>
    <w:p w14:paraId="42A3C064" w14:textId="77777777" w:rsidR="00935B47" w:rsidRDefault="00935B47" w:rsidP="00935B47">
      <w:pPr>
        <w:spacing w:before="80" w:after="120"/>
        <w:jc w:val="both"/>
      </w:pPr>
      <w:r>
        <w:rPr>
          <w:rFonts w:ascii="Arial" w:eastAsia="Arial" w:hAnsi="Arial" w:cs="Arial"/>
        </w:rPr>
        <w:t xml:space="preserve">The CNIL open-source PIA software supports GDPR DPIA completion but was not designed for the AI Act [9]. The </w:t>
      </w:r>
      <w:proofErr w:type="spellStart"/>
      <w:r>
        <w:rPr>
          <w:rFonts w:ascii="Arial" w:eastAsia="Arial" w:hAnsi="Arial" w:cs="Arial"/>
        </w:rPr>
        <w:t>smashHit</w:t>
      </w:r>
      <w:proofErr w:type="spellEnd"/>
      <w:r>
        <w:rPr>
          <w:rFonts w:ascii="Arial" w:eastAsia="Arial" w:hAnsi="Arial" w:cs="Arial"/>
        </w:rPr>
        <w:t xml:space="preserve"> project produced a semantic GDPR compliance verification tool using DPV [37]. Casola et al. developed </w:t>
      </w:r>
      <w:proofErr w:type="spellStart"/>
      <w:r>
        <w:rPr>
          <w:rFonts w:ascii="Arial" w:eastAsia="Arial" w:hAnsi="Arial" w:cs="Arial"/>
        </w:rPr>
        <w:t>ThreatFinderAI</w:t>
      </w:r>
      <w:proofErr w:type="spellEnd"/>
      <w:r>
        <w:rPr>
          <w:rFonts w:ascii="Arial" w:eastAsia="Arial" w:hAnsi="Arial" w:cs="Arial"/>
        </w:rPr>
        <w:t xml:space="preserve"> for LLM-based threat modelling [43]. Lewis et al. mapped the EU AI Act regulatory learning space without producing a deployable tool [42]. Rintamaki and Pandit's automated FRIA prototype (arXiv:2501.14756) is the closest existing work but has not been deployed, is not credit-scoring specific, and integrates neither cybersecurity threat modelling, XAI, risk scoring, nor bias detection [8].</w:t>
      </w:r>
    </w:p>
    <w:p w14:paraId="1F188503" w14:textId="77777777" w:rsidR="00935B47" w:rsidRPr="00646ABE" w:rsidRDefault="00935B47" w:rsidP="00935B47">
      <w:pPr>
        <w:pStyle w:val="Heading2"/>
        <w:rPr>
          <w:color w:val="auto"/>
        </w:rPr>
      </w:pPr>
      <w:bookmarkStart w:id="38" w:name="_Toc230337291"/>
      <w:r w:rsidRPr="00646ABE">
        <w:rPr>
          <w:rFonts w:ascii="Arial" w:eastAsia="Arial" w:hAnsi="Arial" w:cs="Arial"/>
          <w:b/>
          <w:bCs/>
          <w:color w:val="auto"/>
        </w:rPr>
        <w:t>10.3 The Unified Tool Gap</w:t>
      </w:r>
      <w:bookmarkEnd w:id="38"/>
    </w:p>
    <w:p w14:paraId="0AB37EEA" w14:textId="77777777" w:rsidR="00935B47" w:rsidRDefault="00935B47" w:rsidP="00935B47">
      <w:pPr>
        <w:spacing w:before="80" w:after="120"/>
        <w:jc w:val="both"/>
      </w:pPr>
      <w:r>
        <w:rPr>
          <w:rFonts w:ascii="Arial" w:eastAsia="Arial" w:hAnsi="Arial" w:cs="Arial"/>
        </w:rPr>
        <w:t>The literature reveals a clear and specific gap: no existing tool unifies an Article 27 FRIA workflow, Article 15 cybersecurity threat modelling, Article 13 explainability reporting, Article 9 risk scoring, and Article 10(5) bias detection into one prototype, backed by a semantic knowledge graph using DPV and AIRO/VAIR, and specifically designed for the high-risk credit scoring sector. This dissertation directly addresses that gap through Design Science Research [44], [45], building and evaluating a prototype validated against the German Credit dataset [31] and assessed through expert review.</w:t>
      </w:r>
    </w:p>
    <w:p w14:paraId="427F1DE0" w14:textId="77777777" w:rsidR="00935B47" w:rsidRDefault="00935B47" w:rsidP="00935B47">
      <w:pPr>
        <w:pStyle w:val="Heading1"/>
        <w:rPr>
          <w:rFonts w:ascii="Arial" w:eastAsia="Arial" w:hAnsi="Arial" w:cs="Arial"/>
          <w:b/>
          <w:bCs/>
        </w:rPr>
      </w:pPr>
    </w:p>
    <w:p w14:paraId="7D270401" w14:textId="22DE3AB6" w:rsidR="00935B47" w:rsidRPr="00646ABE" w:rsidRDefault="00935B47" w:rsidP="00935B47">
      <w:pPr>
        <w:pStyle w:val="Heading1"/>
        <w:rPr>
          <w:color w:val="auto"/>
        </w:rPr>
      </w:pPr>
      <w:bookmarkStart w:id="39" w:name="_Toc230337292"/>
      <w:r w:rsidRPr="00646ABE">
        <w:rPr>
          <w:rFonts w:ascii="Arial" w:eastAsia="Arial" w:hAnsi="Arial" w:cs="Arial"/>
          <w:b/>
          <w:bCs/>
          <w:color w:val="auto"/>
        </w:rPr>
        <w:t>11. Conclusion</w:t>
      </w:r>
      <w:bookmarkEnd w:id="39"/>
    </w:p>
    <w:p w14:paraId="5CD18D4D" w14:textId="77777777" w:rsidR="00935B47" w:rsidRDefault="00935B47" w:rsidP="00935B47">
      <w:pPr>
        <w:spacing w:before="80" w:after="120"/>
        <w:jc w:val="both"/>
      </w:pPr>
      <w:r>
        <w:rPr>
          <w:rFonts w:ascii="Arial" w:eastAsia="Arial" w:hAnsi="Arial" w:cs="Arial"/>
        </w:rPr>
        <w:t>This literature review has established the full academic and technical background for a project building a unified compliance tool for high-risk credit scoring AI systems under the EU AI Act. The review confirmed that credit scoring is explicitly classified as high-risk under Annex III, and that deployers face binding obligations under Articles 9, 10(5), 13, 15, and 27 from August 2026 [1].</w:t>
      </w:r>
    </w:p>
    <w:p w14:paraId="6E26B563" w14:textId="77777777" w:rsidR="00935B47" w:rsidRDefault="00935B47" w:rsidP="00935B47">
      <w:pPr>
        <w:spacing w:before="80" w:after="120"/>
        <w:jc w:val="both"/>
      </w:pPr>
      <w:r>
        <w:rPr>
          <w:rFonts w:ascii="Arial" w:eastAsia="Arial" w:hAnsi="Arial" w:cs="Arial"/>
        </w:rPr>
        <w:t xml:space="preserve">The review of FRIA literature confirmed a clear gap: no deployable open-source FRIA tool exists for the AI Act, and no published work combines FRIA with cybersecurity threat modelling, XAI, risk scoring, and bias detection for credit scoring [2], [7], [8]. STRIDE-AI [14], [15] and MITRE ATLAS [18], [19] were identified as the state-of-the-art cybersecurity frameworks, aligned with ENISA FAICP [21] and Article 15(5). SHAP [49] and LIME [50] were identified as the leading XAI methods, with Arrieta et al. [46] providing the taxonomy and Rudin [47] and </w:t>
      </w:r>
      <w:proofErr w:type="spellStart"/>
      <w:r>
        <w:rPr>
          <w:rFonts w:ascii="Arial" w:eastAsia="Arial" w:hAnsi="Arial" w:cs="Arial"/>
        </w:rPr>
        <w:t>Gyevnar</w:t>
      </w:r>
      <w:proofErr w:type="spellEnd"/>
      <w:r>
        <w:rPr>
          <w:rFonts w:ascii="Arial" w:eastAsia="Arial" w:hAnsi="Arial" w:cs="Arial"/>
        </w:rPr>
        <w:t xml:space="preserve"> et al. [48] identifying their regulatory limitations. ISO 31000 [52] and the NIST AI RMF [5] provide the risk scoring foundation, and AIF360 [55] and Hardt et al. [54] provide the bias detection and fairness metric foundations.</w:t>
      </w:r>
    </w:p>
    <w:p w14:paraId="5E097ED0" w14:textId="77777777" w:rsidR="00935B47" w:rsidRDefault="00935B47" w:rsidP="00935B47">
      <w:pPr>
        <w:spacing w:before="80" w:after="120"/>
        <w:jc w:val="both"/>
      </w:pPr>
      <w:r>
        <w:rPr>
          <w:rFonts w:ascii="Arial" w:eastAsia="Arial" w:hAnsi="Arial" w:cs="Arial"/>
        </w:rPr>
        <w:lastRenderedPageBreak/>
        <w:t>The review of credit scoring AI confirmed real-world bias risks [28], [30], validated by the Apple Card case [29], and showed that EBA guidelines [33], [34] must be reconciled with the AI Act. Knowledge graphs, DPV, and AIRO/VAIR provide a robust semantic backbone [38], [39], [40]. The Design Science Research methodology [44], [45] provides the appropriate research scaffold for building and evaluating the prototype, with the German Credit dataset [31] providing the empirical validation anchor. The unified tool this project builds fills a gap confirmed across all ten areas of this review.</w:t>
      </w:r>
    </w:p>
    <w:p w14:paraId="10A8CC8B" w14:textId="77777777" w:rsidR="00935B47" w:rsidRDefault="00935B47" w:rsidP="00935B47">
      <w:pPr>
        <w:pStyle w:val="Heading1"/>
        <w:rPr>
          <w:rFonts w:ascii="Arial" w:eastAsia="Arial" w:hAnsi="Arial" w:cs="Arial"/>
          <w:b/>
          <w:bCs/>
        </w:rPr>
      </w:pPr>
    </w:p>
    <w:p w14:paraId="32B10326" w14:textId="77777777" w:rsidR="0048283B" w:rsidRDefault="0048283B" w:rsidP="0048283B"/>
    <w:p w14:paraId="6B1B0116" w14:textId="77777777" w:rsidR="0048283B" w:rsidRDefault="0048283B" w:rsidP="0048283B"/>
    <w:p w14:paraId="1DC947EC" w14:textId="77777777" w:rsidR="0048283B" w:rsidRDefault="0048283B" w:rsidP="0048283B"/>
    <w:p w14:paraId="15EED97D" w14:textId="77777777" w:rsidR="0048283B" w:rsidRDefault="0048283B" w:rsidP="0048283B"/>
    <w:p w14:paraId="150D1441" w14:textId="77777777" w:rsidR="0048283B" w:rsidRDefault="0048283B" w:rsidP="0048283B"/>
    <w:p w14:paraId="616DABE1" w14:textId="77777777" w:rsidR="0048283B" w:rsidRDefault="0048283B" w:rsidP="0048283B"/>
    <w:p w14:paraId="73D9224D" w14:textId="77777777" w:rsidR="0048283B" w:rsidRDefault="0048283B" w:rsidP="0048283B"/>
    <w:p w14:paraId="362CA568" w14:textId="77777777" w:rsidR="0048283B" w:rsidRDefault="0048283B" w:rsidP="0048283B"/>
    <w:p w14:paraId="46980805" w14:textId="77777777" w:rsidR="0048283B" w:rsidRDefault="0048283B" w:rsidP="0048283B"/>
    <w:p w14:paraId="17DC12A7" w14:textId="77777777" w:rsidR="0048283B" w:rsidRDefault="0048283B" w:rsidP="0048283B"/>
    <w:p w14:paraId="3728F213" w14:textId="77777777" w:rsidR="0048283B" w:rsidRDefault="0048283B" w:rsidP="0048283B"/>
    <w:p w14:paraId="5D4F68BA" w14:textId="77777777" w:rsidR="0048283B" w:rsidRDefault="0048283B" w:rsidP="0048283B"/>
    <w:p w14:paraId="01B79137" w14:textId="77777777" w:rsidR="0048283B" w:rsidRDefault="0048283B" w:rsidP="0048283B"/>
    <w:p w14:paraId="1A0FD2CE" w14:textId="77777777" w:rsidR="0048283B" w:rsidRDefault="0048283B" w:rsidP="0048283B"/>
    <w:p w14:paraId="4464F6DB" w14:textId="77777777" w:rsidR="0048283B" w:rsidRDefault="0048283B" w:rsidP="0048283B"/>
    <w:p w14:paraId="079F6F40" w14:textId="77777777" w:rsidR="0048283B" w:rsidRDefault="0048283B" w:rsidP="0048283B"/>
    <w:p w14:paraId="42B24200" w14:textId="77777777" w:rsidR="0048283B" w:rsidRDefault="0048283B" w:rsidP="0048283B"/>
    <w:p w14:paraId="103BD412" w14:textId="77777777" w:rsidR="0048283B" w:rsidRDefault="0048283B" w:rsidP="0048283B"/>
    <w:p w14:paraId="5015E3D0" w14:textId="77777777" w:rsidR="0048283B" w:rsidRDefault="0048283B" w:rsidP="0048283B"/>
    <w:p w14:paraId="6B13FC46" w14:textId="77777777" w:rsidR="0048283B" w:rsidRDefault="0048283B" w:rsidP="0048283B"/>
    <w:p w14:paraId="67E107F5" w14:textId="77777777" w:rsidR="0048283B" w:rsidRDefault="0048283B" w:rsidP="0048283B"/>
    <w:p w14:paraId="44EBE22C" w14:textId="77777777" w:rsidR="0048283B" w:rsidRDefault="0048283B" w:rsidP="0048283B"/>
    <w:p w14:paraId="2FED6728" w14:textId="77777777" w:rsidR="006E3F5F" w:rsidRPr="0048283B" w:rsidRDefault="006E3F5F" w:rsidP="0048283B"/>
    <w:p w14:paraId="60AD4DE9" w14:textId="21A9F856" w:rsidR="00935B47" w:rsidRPr="00646ABE" w:rsidRDefault="00935B47" w:rsidP="00935B47">
      <w:pPr>
        <w:pStyle w:val="Heading1"/>
        <w:rPr>
          <w:color w:val="auto"/>
        </w:rPr>
      </w:pPr>
      <w:bookmarkStart w:id="40" w:name="_Toc230337293"/>
      <w:r w:rsidRPr="00646ABE">
        <w:rPr>
          <w:rFonts w:ascii="Arial" w:eastAsia="Arial" w:hAnsi="Arial" w:cs="Arial"/>
          <w:b/>
          <w:bCs/>
          <w:color w:val="auto"/>
        </w:rPr>
        <w:lastRenderedPageBreak/>
        <w:t>References</w:t>
      </w:r>
      <w:bookmarkEnd w:id="40"/>
    </w:p>
    <w:p w14:paraId="7392C952" w14:textId="77777777" w:rsidR="00935B47" w:rsidRDefault="00935B47" w:rsidP="00935B47">
      <w:pPr>
        <w:spacing w:before="60" w:after="60"/>
        <w:ind w:left="720" w:hanging="360"/>
      </w:pPr>
      <w:r>
        <w:rPr>
          <w:rFonts w:ascii="Arial" w:eastAsia="Arial" w:hAnsi="Arial" w:cs="Arial"/>
          <w:sz w:val="20"/>
          <w:szCs w:val="20"/>
        </w:rPr>
        <w:t>[1] European Parliament and Council, "Regulation (EU) 2024/1689 of 13 June 2024 laying down harmonised rules on artificial intelligence (Artificial Intelligence Act)," Official Journal of the European Union, OJ L, 2024/1689, 12 Jul. 2024.</w:t>
      </w:r>
    </w:p>
    <w:p w14:paraId="61423B49" w14:textId="77777777" w:rsidR="00935B47" w:rsidRDefault="00935B47" w:rsidP="00935B47">
      <w:pPr>
        <w:spacing w:before="60" w:after="60"/>
        <w:ind w:left="720" w:hanging="360"/>
      </w:pPr>
      <w:r>
        <w:rPr>
          <w:rFonts w:ascii="Arial" w:eastAsia="Arial" w:hAnsi="Arial" w:cs="Arial"/>
          <w:sz w:val="20"/>
          <w:szCs w:val="20"/>
        </w:rPr>
        <w:t xml:space="preserve">[2] A. </w:t>
      </w:r>
      <w:proofErr w:type="spellStart"/>
      <w:r>
        <w:rPr>
          <w:rFonts w:ascii="Arial" w:eastAsia="Arial" w:hAnsi="Arial" w:cs="Arial"/>
          <w:sz w:val="20"/>
          <w:szCs w:val="20"/>
        </w:rPr>
        <w:t>Mantelero</w:t>
      </w:r>
      <w:proofErr w:type="spellEnd"/>
      <w:r>
        <w:rPr>
          <w:rFonts w:ascii="Arial" w:eastAsia="Arial" w:hAnsi="Arial" w:cs="Arial"/>
          <w:sz w:val="20"/>
          <w:szCs w:val="20"/>
        </w:rPr>
        <w:t>, "The Fundamental Rights Impact Assessment (FRIA) in the AI Act: Roots, legal obligations and key elements for a model template," Computer Law and Security Review, vol. 54, p. 106020, Sep. 2024.</w:t>
      </w:r>
    </w:p>
    <w:p w14:paraId="44E939F5" w14:textId="77777777" w:rsidR="00935B47" w:rsidRDefault="00935B47" w:rsidP="00935B47">
      <w:pPr>
        <w:spacing w:before="60" w:after="60"/>
        <w:ind w:left="720" w:hanging="360"/>
      </w:pPr>
      <w:r>
        <w:rPr>
          <w:rFonts w:ascii="Arial" w:eastAsia="Arial" w:hAnsi="Arial" w:cs="Arial"/>
          <w:sz w:val="20"/>
          <w:szCs w:val="20"/>
        </w:rPr>
        <w:t xml:space="preserve">[3] S. Soler Garrido et al., "Interplay of ISMS and AIMS in context of the EU AI Act," </w:t>
      </w:r>
      <w:proofErr w:type="spellStart"/>
      <w:r>
        <w:rPr>
          <w:rFonts w:ascii="Arial" w:eastAsia="Arial" w:hAnsi="Arial" w:cs="Arial"/>
          <w:sz w:val="20"/>
          <w:szCs w:val="20"/>
        </w:rPr>
        <w:t>arXiv</w:t>
      </w:r>
      <w:proofErr w:type="spellEnd"/>
      <w:r>
        <w:rPr>
          <w:rFonts w:ascii="Arial" w:eastAsia="Arial" w:hAnsi="Arial" w:cs="Arial"/>
          <w:sz w:val="20"/>
          <w:szCs w:val="20"/>
        </w:rPr>
        <w:t xml:space="preserve"> preprint arXiv:2412.18670, 2024.</w:t>
      </w:r>
    </w:p>
    <w:p w14:paraId="42614F0F" w14:textId="77777777" w:rsidR="00935B47" w:rsidRDefault="00935B47" w:rsidP="00935B47">
      <w:pPr>
        <w:spacing w:before="60" w:after="60"/>
        <w:ind w:left="720" w:hanging="360"/>
      </w:pPr>
      <w:r>
        <w:rPr>
          <w:rFonts w:ascii="Arial" w:eastAsia="Arial" w:hAnsi="Arial" w:cs="Arial"/>
          <w:sz w:val="20"/>
          <w:szCs w:val="20"/>
        </w:rPr>
        <w:t xml:space="preserve">[4] J. Hernandez, D. </w:t>
      </w:r>
      <w:proofErr w:type="spellStart"/>
      <w:r>
        <w:rPr>
          <w:rFonts w:ascii="Arial" w:eastAsia="Arial" w:hAnsi="Arial" w:cs="Arial"/>
          <w:sz w:val="20"/>
          <w:szCs w:val="20"/>
        </w:rPr>
        <w:t>Golpayegani</w:t>
      </w:r>
      <w:proofErr w:type="spellEnd"/>
      <w:r>
        <w:rPr>
          <w:rFonts w:ascii="Arial" w:eastAsia="Arial" w:hAnsi="Arial" w:cs="Arial"/>
          <w:sz w:val="20"/>
          <w:szCs w:val="20"/>
        </w:rPr>
        <w:t xml:space="preserve">, and D. Lewis, "Trustworthy AI Requirements Ontology (TAIR): modelling AI Act clauses and harmonised standards," in Proc. </w:t>
      </w:r>
      <w:proofErr w:type="spellStart"/>
      <w:r>
        <w:rPr>
          <w:rFonts w:ascii="Arial" w:eastAsia="Arial" w:hAnsi="Arial" w:cs="Arial"/>
          <w:sz w:val="20"/>
          <w:szCs w:val="20"/>
        </w:rPr>
        <w:t>SEMANTiCS</w:t>
      </w:r>
      <w:proofErr w:type="spellEnd"/>
      <w:r>
        <w:rPr>
          <w:rFonts w:ascii="Arial" w:eastAsia="Arial" w:hAnsi="Arial" w:cs="Arial"/>
          <w:sz w:val="20"/>
          <w:szCs w:val="20"/>
        </w:rPr>
        <w:t>, 2023.</w:t>
      </w:r>
    </w:p>
    <w:p w14:paraId="2A22D13C" w14:textId="77777777" w:rsidR="00935B47" w:rsidRDefault="00935B47" w:rsidP="00935B47">
      <w:pPr>
        <w:spacing w:before="60" w:after="60"/>
        <w:ind w:left="720" w:hanging="360"/>
      </w:pPr>
      <w:r>
        <w:rPr>
          <w:rFonts w:ascii="Arial" w:eastAsia="Arial" w:hAnsi="Arial" w:cs="Arial"/>
          <w:sz w:val="20"/>
          <w:szCs w:val="20"/>
        </w:rPr>
        <w:t>[5] E. Tabassi, "Artificial Intelligence Risk Management Framework (AI RMF 1.0)," NIST AI 100-1, National Institute of Standards and Technology, Gaithersburg, MD, USA, Jan. 2023.</w:t>
      </w:r>
    </w:p>
    <w:p w14:paraId="14C1BC06" w14:textId="77777777" w:rsidR="00935B47" w:rsidRDefault="00935B47" w:rsidP="00935B47">
      <w:pPr>
        <w:spacing w:before="60" w:after="60"/>
        <w:ind w:left="720" w:hanging="360"/>
      </w:pPr>
      <w:r>
        <w:rPr>
          <w:rFonts w:ascii="Arial" w:eastAsia="Arial" w:hAnsi="Arial" w:cs="Arial"/>
          <w:sz w:val="20"/>
          <w:szCs w:val="20"/>
        </w:rPr>
        <w:t>[6] ISO/IEC, ISO/IEC 42001:2023 -- Information technology -- Artificial intelligence -- Management system, International Organization for Standardization, Geneva, Switzerland, 2023.</w:t>
      </w:r>
    </w:p>
    <w:p w14:paraId="6756E1C2" w14:textId="77777777" w:rsidR="00935B47" w:rsidRDefault="00935B47" w:rsidP="00935B47">
      <w:pPr>
        <w:spacing w:before="60" w:after="60"/>
        <w:ind w:left="720" w:hanging="360"/>
      </w:pPr>
      <w:r>
        <w:rPr>
          <w:rFonts w:ascii="Arial" w:eastAsia="Arial" w:hAnsi="Arial" w:cs="Arial"/>
          <w:sz w:val="20"/>
          <w:szCs w:val="20"/>
        </w:rPr>
        <w:t>[7] H. Janssen, M. Seng Ah Lee and J. Singh, "Practical fundamental rights impact assessments," International Journal of Law and Information Technology, vol. 30, no. 2, pp. 200-232, 2022.</w:t>
      </w:r>
    </w:p>
    <w:p w14:paraId="0B1FB66E" w14:textId="77777777" w:rsidR="00935B47" w:rsidRDefault="00935B47" w:rsidP="00935B47">
      <w:pPr>
        <w:spacing w:before="60" w:after="60"/>
        <w:ind w:left="720" w:hanging="360"/>
      </w:pPr>
      <w:r>
        <w:rPr>
          <w:rFonts w:ascii="Arial" w:eastAsia="Arial" w:hAnsi="Arial" w:cs="Arial"/>
          <w:sz w:val="20"/>
          <w:szCs w:val="20"/>
        </w:rPr>
        <w:t>[8] T. Rintamaki and H. J. Pandit, "Towards an Automated AI Act FRIA Tool That Can Reuse GDPR's DPIA," arXiv:2501.14756, Dec. 2024.</w:t>
      </w:r>
    </w:p>
    <w:p w14:paraId="5AA66377" w14:textId="77777777" w:rsidR="00935B47" w:rsidRDefault="00935B47" w:rsidP="00935B47">
      <w:pPr>
        <w:spacing w:before="60" w:after="60"/>
        <w:ind w:left="720" w:hanging="360"/>
      </w:pPr>
      <w:r>
        <w:rPr>
          <w:rFonts w:ascii="Arial" w:eastAsia="Arial" w:hAnsi="Arial" w:cs="Arial"/>
          <w:sz w:val="20"/>
          <w:szCs w:val="20"/>
        </w:rPr>
        <w:t>[9] T. Rintamaki and H. J. Pandit, "Developing an Ontology for AI Act Fundamental Rights Impact Assessments," arXiv:2501.10391, Jan. 2025.</w:t>
      </w:r>
    </w:p>
    <w:p w14:paraId="3C42AD57" w14:textId="77777777" w:rsidR="00935B47" w:rsidRDefault="00935B47" w:rsidP="00935B47">
      <w:pPr>
        <w:spacing w:before="60" w:after="60"/>
        <w:ind w:left="720" w:hanging="360"/>
      </w:pPr>
      <w:r>
        <w:rPr>
          <w:rFonts w:ascii="Arial" w:eastAsia="Arial" w:hAnsi="Arial" w:cs="Arial"/>
          <w:sz w:val="20"/>
          <w:szCs w:val="20"/>
        </w:rPr>
        <w:t xml:space="preserve">[10] N. </w:t>
      </w:r>
      <w:proofErr w:type="spellStart"/>
      <w:r>
        <w:rPr>
          <w:rFonts w:ascii="Arial" w:eastAsia="Arial" w:hAnsi="Arial" w:cs="Arial"/>
          <w:sz w:val="20"/>
          <w:szCs w:val="20"/>
        </w:rPr>
        <w:t>Inverardi</w:t>
      </w:r>
      <w:proofErr w:type="spellEnd"/>
      <w:r>
        <w:rPr>
          <w:rFonts w:ascii="Arial" w:eastAsia="Arial" w:hAnsi="Arial" w:cs="Arial"/>
          <w:sz w:val="20"/>
          <w:szCs w:val="20"/>
        </w:rPr>
        <w:t xml:space="preserve"> et al., "Fundamental Rights and AI Impact Assessment: A proposal for a new quantitative approach," in Proc. 2024 International Joint Conference on Neural Networks (IJCNN), 2024.</w:t>
      </w:r>
    </w:p>
    <w:p w14:paraId="6500A5AA" w14:textId="77777777" w:rsidR="00935B47" w:rsidRDefault="00935B47" w:rsidP="00935B47">
      <w:pPr>
        <w:spacing w:before="60" w:after="60"/>
        <w:ind w:left="720" w:hanging="360"/>
      </w:pPr>
      <w:r>
        <w:rPr>
          <w:rFonts w:ascii="Arial" w:eastAsia="Arial" w:hAnsi="Arial" w:cs="Arial"/>
          <w:sz w:val="20"/>
          <w:szCs w:val="20"/>
        </w:rPr>
        <w:t xml:space="preserve">[11] A. Calvi and D. </w:t>
      </w:r>
      <w:proofErr w:type="spellStart"/>
      <w:r>
        <w:rPr>
          <w:rFonts w:ascii="Arial" w:eastAsia="Arial" w:hAnsi="Arial" w:cs="Arial"/>
          <w:sz w:val="20"/>
          <w:szCs w:val="20"/>
        </w:rPr>
        <w:t>Kotzinos</w:t>
      </w:r>
      <w:proofErr w:type="spellEnd"/>
      <w:r>
        <w:rPr>
          <w:rFonts w:ascii="Arial" w:eastAsia="Arial" w:hAnsi="Arial" w:cs="Arial"/>
          <w:sz w:val="20"/>
          <w:szCs w:val="20"/>
        </w:rPr>
        <w:t xml:space="preserve">, "Enhancing AI fairness through impact assessment in the European Union: A legal and computer science perspective," in Proc. ACM </w:t>
      </w:r>
      <w:proofErr w:type="spellStart"/>
      <w:r>
        <w:rPr>
          <w:rFonts w:ascii="Arial" w:eastAsia="Arial" w:hAnsi="Arial" w:cs="Arial"/>
          <w:sz w:val="20"/>
          <w:szCs w:val="20"/>
        </w:rPr>
        <w:t>FAccT</w:t>
      </w:r>
      <w:proofErr w:type="spellEnd"/>
      <w:r>
        <w:rPr>
          <w:rFonts w:ascii="Arial" w:eastAsia="Arial" w:hAnsi="Arial" w:cs="Arial"/>
          <w:sz w:val="20"/>
          <w:szCs w:val="20"/>
        </w:rPr>
        <w:t xml:space="preserve"> 2023, Chicago, IL, USA, 2023.</w:t>
      </w:r>
    </w:p>
    <w:p w14:paraId="64E05A66" w14:textId="77777777" w:rsidR="00935B47" w:rsidRDefault="00935B47" w:rsidP="00935B47">
      <w:pPr>
        <w:spacing w:before="60" w:after="60"/>
        <w:ind w:left="720" w:hanging="360"/>
      </w:pPr>
      <w:r>
        <w:rPr>
          <w:rFonts w:ascii="Arial" w:eastAsia="Arial" w:hAnsi="Arial" w:cs="Arial"/>
          <w:sz w:val="20"/>
          <w:szCs w:val="20"/>
        </w:rPr>
        <w:t>[12] European Data Protection Board, "Opinion 28/2024 on certain data protection aspects related to the processing of personal data in the context of AI models," EDPB, Brussels, Belgium, 17 Dec. 2024.</w:t>
      </w:r>
    </w:p>
    <w:p w14:paraId="0DF8EDA0" w14:textId="77777777" w:rsidR="00935B47" w:rsidRDefault="00935B47" w:rsidP="00935B47">
      <w:pPr>
        <w:spacing w:before="60" w:after="60"/>
        <w:ind w:left="720" w:hanging="360"/>
      </w:pPr>
      <w:r>
        <w:rPr>
          <w:rFonts w:ascii="Arial" w:eastAsia="Arial" w:hAnsi="Arial" w:cs="Arial"/>
          <w:sz w:val="20"/>
          <w:szCs w:val="20"/>
        </w:rPr>
        <w:t xml:space="preserve">[13] T. Rintamaki, D. </w:t>
      </w:r>
      <w:proofErr w:type="spellStart"/>
      <w:r>
        <w:rPr>
          <w:rFonts w:ascii="Arial" w:eastAsia="Arial" w:hAnsi="Arial" w:cs="Arial"/>
          <w:sz w:val="20"/>
          <w:szCs w:val="20"/>
        </w:rPr>
        <w:t>Golpayegani</w:t>
      </w:r>
      <w:proofErr w:type="spellEnd"/>
      <w:r>
        <w:rPr>
          <w:rFonts w:ascii="Arial" w:eastAsia="Arial" w:hAnsi="Arial" w:cs="Arial"/>
          <w:sz w:val="20"/>
          <w:szCs w:val="20"/>
        </w:rPr>
        <w:t>, E. Celeste, D. Lewis and H. J. Pandit, "High-Risk Categorisations in GDPR vs AI Act: Overlaps and Implications," OSF preprint, 2024.</w:t>
      </w:r>
    </w:p>
    <w:p w14:paraId="21C0BC30" w14:textId="77777777" w:rsidR="00935B47" w:rsidRDefault="00935B47" w:rsidP="00935B47">
      <w:pPr>
        <w:spacing w:before="60" w:after="60"/>
        <w:ind w:left="720" w:hanging="360"/>
      </w:pPr>
      <w:r>
        <w:rPr>
          <w:rFonts w:ascii="Arial" w:eastAsia="Arial" w:hAnsi="Arial" w:cs="Arial"/>
          <w:sz w:val="20"/>
          <w:szCs w:val="20"/>
        </w:rPr>
        <w:t>[14] L. Mauri and E. Damiani, "STRIDE-AI: An Approach to Identifying Vulnerabilities of Machine Learning Assets," in Proc. IEEE International Conference on Cyber Security and Resilience (CSR), Rhodes, Greece, Jul. 2021.</w:t>
      </w:r>
    </w:p>
    <w:p w14:paraId="7A004597" w14:textId="77777777" w:rsidR="00935B47" w:rsidRDefault="00935B47" w:rsidP="00935B47">
      <w:pPr>
        <w:spacing w:before="60" w:after="60"/>
        <w:ind w:left="720" w:hanging="360"/>
      </w:pPr>
      <w:r>
        <w:rPr>
          <w:rFonts w:ascii="Arial" w:eastAsia="Arial" w:hAnsi="Arial" w:cs="Arial"/>
          <w:sz w:val="20"/>
          <w:szCs w:val="20"/>
        </w:rPr>
        <w:t>[15] L. Mauri and E. Damiani, "</w:t>
      </w:r>
      <w:proofErr w:type="spellStart"/>
      <w:r>
        <w:rPr>
          <w:rFonts w:ascii="Arial" w:eastAsia="Arial" w:hAnsi="Arial" w:cs="Arial"/>
          <w:sz w:val="20"/>
          <w:szCs w:val="20"/>
        </w:rPr>
        <w:t>Modeling</w:t>
      </w:r>
      <w:proofErr w:type="spellEnd"/>
      <w:r>
        <w:rPr>
          <w:rFonts w:ascii="Arial" w:eastAsia="Arial" w:hAnsi="Arial" w:cs="Arial"/>
          <w:sz w:val="20"/>
          <w:szCs w:val="20"/>
        </w:rPr>
        <w:t xml:space="preserve"> Threats to AI-ML Systems Using STRIDE," Sensors, vol. 22, no. 17, art. 6662, Sep. 2022.</w:t>
      </w:r>
    </w:p>
    <w:p w14:paraId="777AAEFC" w14:textId="77777777" w:rsidR="00935B47" w:rsidRDefault="00935B47" w:rsidP="00935B47">
      <w:pPr>
        <w:spacing w:before="60" w:after="60"/>
        <w:ind w:left="720" w:hanging="360"/>
      </w:pPr>
      <w:r>
        <w:rPr>
          <w:rFonts w:ascii="Arial" w:eastAsia="Arial" w:hAnsi="Arial" w:cs="Arial"/>
          <w:sz w:val="20"/>
          <w:szCs w:val="20"/>
        </w:rPr>
        <w:t xml:space="preserve">[16] R. Khan, K. McLaughlin, D. Laverty and S. Sezer, "STRIDE-based threat </w:t>
      </w:r>
      <w:proofErr w:type="spellStart"/>
      <w:r>
        <w:rPr>
          <w:rFonts w:ascii="Arial" w:eastAsia="Arial" w:hAnsi="Arial" w:cs="Arial"/>
          <w:sz w:val="20"/>
          <w:szCs w:val="20"/>
        </w:rPr>
        <w:t>modeling</w:t>
      </w:r>
      <w:proofErr w:type="spellEnd"/>
      <w:r>
        <w:rPr>
          <w:rFonts w:ascii="Arial" w:eastAsia="Arial" w:hAnsi="Arial" w:cs="Arial"/>
          <w:sz w:val="20"/>
          <w:szCs w:val="20"/>
        </w:rPr>
        <w:t xml:space="preserve"> for cyber-physical systems," in Proc. IEEE PES Innovative Smart Grid Technologies Conf., 2017.</w:t>
      </w:r>
    </w:p>
    <w:p w14:paraId="3897E093" w14:textId="77777777" w:rsidR="00935B47" w:rsidRDefault="00935B47" w:rsidP="00935B47">
      <w:pPr>
        <w:spacing w:before="60" w:after="60"/>
        <w:ind w:left="720" w:hanging="360"/>
      </w:pPr>
      <w:r>
        <w:rPr>
          <w:rFonts w:ascii="Arial" w:eastAsia="Arial" w:hAnsi="Arial" w:cs="Arial"/>
          <w:sz w:val="20"/>
          <w:szCs w:val="20"/>
        </w:rPr>
        <w:t xml:space="preserve">[17] T. N. R. Cyrille and F. Schwarz, "STRIDE-AI: A Threat </w:t>
      </w:r>
      <w:proofErr w:type="spellStart"/>
      <w:r>
        <w:rPr>
          <w:rFonts w:ascii="Arial" w:eastAsia="Arial" w:hAnsi="Arial" w:cs="Arial"/>
          <w:sz w:val="20"/>
          <w:szCs w:val="20"/>
        </w:rPr>
        <w:t>Modeling</w:t>
      </w:r>
      <w:proofErr w:type="spellEnd"/>
      <w:r>
        <w:rPr>
          <w:rFonts w:ascii="Arial" w:eastAsia="Arial" w:hAnsi="Arial" w:cs="Arial"/>
          <w:sz w:val="20"/>
          <w:szCs w:val="20"/>
        </w:rPr>
        <w:t xml:space="preserve"> Framework for Generative AI Security Assessment," arXiv:2605.17163, 2026.</w:t>
      </w:r>
    </w:p>
    <w:p w14:paraId="358F37F4" w14:textId="77777777" w:rsidR="00935B47" w:rsidRDefault="00935B47" w:rsidP="00935B47">
      <w:pPr>
        <w:spacing w:before="60" w:after="60"/>
        <w:ind w:left="720" w:hanging="360"/>
      </w:pPr>
      <w:r>
        <w:rPr>
          <w:rFonts w:ascii="Arial" w:eastAsia="Arial" w:hAnsi="Arial" w:cs="Arial"/>
          <w:sz w:val="20"/>
          <w:szCs w:val="20"/>
        </w:rPr>
        <w:t>[18] R. S. Siva Kumar, M. Nystrom, J. Lambert et al., "Adversarial Machine Learning Threat Matrix," Microsoft and MITRE consortium, Oct. 2020.</w:t>
      </w:r>
    </w:p>
    <w:p w14:paraId="5262493B" w14:textId="77777777" w:rsidR="00935B47" w:rsidRDefault="00935B47" w:rsidP="00935B47">
      <w:pPr>
        <w:spacing w:before="60" w:after="60"/>
        <w:ind w:left="720" w:hanging="360"/>
      </w:pPr>
      <w:r>
        <w:rPr>
          <w:rFonts w:ascii="Arial" w:eastAsia="Arial" w:hAnsi="Arial" w:cs="Arial"/>
          <w:sz w:val="20"/>
          <w:szCs w:val="20"/>
        </w:rPr>
        <w:t>[19] MITRE Corporation, "MITRE ATLAS CHANGELOG (v5.1.0)," Nov. 2025. [Online]. Available: https://atlas.mitre.org</w:t>
      </w:r>
    </w:p>
    <w:p w14:paraId="1FA0421D" w14:textId="77777777" w:rsidR="00935B47" w:rsidRDefault="00935B47" w:rsidP="00935B47">
      <w:pPr>
        <w:spacing w:before="60" w:after="60"/>
        <w:ind w:left="720" w:hanging="360"/>
      </w:pPr>
      <w:r>
        <w:rPr>
          <w:rFonts w:ascii="Arial" w:eastAsia="Arial" w:hAnsi="Arial" w:cs="Arial"/>
          <w:sz w:val="20"/>
          <w:szCs w:val="20"/>
        </w:rPr>
        <w:t>[20] MITRE Corporation, "SAFE-AI: A Framework for Securing AI-enabled Systems," MITRE Work Product MP250397, 2025.</w:t>
      </w:r>
    </w:p>
    <w:p w14:paraId="621518AB" w14:textId="77777777" w:rsidR="00935B47" w:rsidRDefault="00935B47" w:rsidP="00935B47">
      <w:pPr>
        <w:spacing w:before="60" w:after="60"/>
        <w:ind w:left="720" w:hanging="360"/>
      </w:pPr>
      <w:r>
        <w:rPr>
          <w:rFonts w:ascii="Arial" w:eastAsia="Arial" w:hAnsi="Arial" w:cs="Arial"/>
          <w:sz w:val="20"/>
          <w:szCs w:val="20"/>
        </w:rPr>
        <w:t>[21] European Union Agency for Cybersecurity (ENISA), Multilayer Framework for Good Cybersecurity Practices for AI, ENISA, Athens, Greece, Jun. 2023.</w:t>
      </w:r>
    </w:p>
    <w:p w14:paraId="5E60328F" w14:textId="77777777" w:rsidR="00935B47" w:rsidRDefault="00935B47" w:rsidP="00935B47">
      <w:pPr>
        <w:spacing w:before="60" w:after="60"/>
        <w:ind w:left="720" w:hanging="360"/>
      </w:pPr>
      <w:r>
        <w:rPr>
          <w:rFonts w:ascii="Arial" w:eastAsia="Arial" w:hAnsi="Arial" w:cs="Arial"/>
          <w:sz w:val="20"/>
          <w:szCs w:val="20"/>
        </w:rPr>
        <w:lastRenderedPageBreak/>
        <w:t>[22] B. Biggio and F. Roli, "Wild patterns: Ten years after the rise of adversarial machine learning," Pattern Recognition, vol. 84, pp. 317-331, Dec. 2018.</w:t>
      </w:r>
    </w:p>
    <w:p w14:paraId="2B807B02" w14:textId="77777777" w:rsidR="00935B47" w:rsidRDefault="00935B47" w:rsidP="00935B47">
      <w:pPr>
        <w:spacing w:before="60" w:after="60"/>
        <w:ind w:left="720" w:hanging="360"/>
      </w:pPr>
      <w:r>
        <w:rPr>
          <w:rFonts w:ascii="Arial" w:eastAsia="Arial" w:hAnsi="Arial" w:cs="Arial"/>
          <w:sz w:val="20"/>
          <w:szCs w:val="20"/>
        </w:rPr>
        <w:t>[23] A. E. Cina et al., "Wild Patterns Reloaded: A Survey of Machine Learning Security against Training Data Poisoning," ACM Computing Surveys, vol. 55, no. 13s, art. 294, Jul. 2023.</w:t>
      </w:r>
    </w:p>
    <w:p w14:paraId="7AFBB425" w14:textId="77777777" w:rsidR="00935B47" w:rsidRDefault="00935B47" w:rsidP="00935B47">
      <w:pPr>
        <w:spacing w:before="60" w:after="60"/>
        <w:ind w:left="720" w:hanging="360"/>
      </w:pPr>
      <w:r>
        <w:rPr>
          <w:rFonts w:ascii="Arial" w:eastAsia="Arial" w:hAnsi="Arial" w:cs="Arial"/>
          <w:sz w:val="20"/>
          <w:szCs w:val="20"/>
        </w:rPr>
        <w:t>[24] B. Biggio, B. Nelson and P. Laskov, "Poisoning attacks against support vector machines," in Proc. 29th International Conference on Machine Learning (ICML), 2012, pp. 1467-1474.</w:t>
      </w:r>
    </w:p>
    <w:p w14:paraId="253AE707" w14:textId="77777777" w:rsidR="00935B47" w:rsidRDefault="00935B47" w:rsidP="00935B47">
      <w:pPr>
        <w:spacing w:before="60" w:after="60"/>
        <w:ind w:left="720" w:hanging="360"/>
      </w:pPr>
      <w:r>
        <w:rPr>
          <w:rFonts w:ascii="Arial" w:eastAsia="Arial" w:hAnsi="Arial" w:cs="Arial"/>
          <w:sz w:val="20"/>
          <w:szCs w:val="20"/>
        </w:rPr>
        <w:t>[25] Z. Tian, L. Cui, J. Liang and S. Yu, "A Comprehensive Survey on Poisoning Attacks and Countermeasures in Machine Learning," ACM Computing Surveys, vol. 55, no. 8, art. 166, 2022.</w:t>
      </w:r>
    </w:p>
    <w:p w14:paraId="5FBDCD7C" w14:textId="77777777" w:rsidR="00935B47" w:rsidRDefault="00935B47" w:rsidP="00935B47">
      <w:pPr>
        <w:spacing w:before="60" w:after="60"/>
        <w:ind w:left="720" w:hanging="360"/>
      </w:pPr>
      <w:r>
        <w:rPr>
          <w:rFonts w:ascii="Arial" w:eastAsia="Arial" w:hAnsi="Arial" w:cs="Arial"/>
          <w:sz w:val="20"/>
          <w:szCs w:val="20"/>
        </w:rPr>
        <w:t xml:space="preserve">[26] M. Goldblum et al., "Threats to Training: A Survey of Poisoning Attacks and </w:t>
      </w:r>
      <w:proofErr w:type="spellStart"/>
      <w:r>
        <w:rPr>
          <w:rFonts w:ascii="Arial" w:eastAsia="Arial" w:hAnsi="Arial" w:cs="Arial"/>
          <w:sz w:val="20"/>
          <w:szCs w:val="20"/>
        </w:rPr>
        <w:t>Defenses</w:t>
      </w:r>
      <w:proofErr w:type="spellEnd"/>
      <w:r>
        <w:rPr>
          <w:rFonts w:ascii="Arial" w:eastAsia="Arial" w:hAnsi="Arial" w:cs="Arial"/>
          <w:sz w:val="20"/>
          <w:szCs w:val="20"/>
        </w:rPr>
        <w:t xml:space="preserve"> on Machine Learning Systems," ACM Computing Surveys, vol. 55, no. 7, art. 134, 2022.</w:t>
      </w:r>
    </w:p>
    <w:p w14:paraId="0F80F500" w14:textId="77777777" w:rsidR="00935B47" w:rsidRDefault="00935B47" w:rsidP="00935B47">
      <w:pPr>
        <w:spacing w:before="60" w:after="60"/>
        <w:ind w:left="720" w:hanging="360"/>
      </w:pPr>
      <w:r>
        <w:rPr>
          <w:rFonts w:ascii="Arial" w:eastAsia="Arial" w:hAnsi="Arial" w:cs="Arial"/>
          <w:sz w:val="20"/>
          <w:szCs w:val="20"/>
        </w:rPr>
        <w:t>[27] M.-I. Nicolae et al., "Adversarial Robustness Toolbox v1.0.0," arXiv:1807.01069, 2018.</w:t>
      </w:r>
    </w:p>
    <w:p w14:paraId="6143CA81" w14:textId="77777777" w:rsidR="00935B47" w:rsidRDefault="00935B47" w:rsidP="00935B47">
      <w:pPr>
        <w:spacing w:before="60" w:after="60"/>
        <w:ind w:left="720" w:hanging="360"/>
      </w:pPr>
      <w:r>
        <w:rPr>
          <w:rFonts w:ascii="Arial" w:eastAsia="Arial" w:hAnsi="Arial" w:cs="Arial"/>
          <w:sz w:val="20"/>
          <w:szCs w:val="20"/>
        </w:rPr>
        <w:t xml:space="preserve">[28] N. </w:t>
      </w:r>
      <w:proofErr w:type="spellStart"/>
      <w:r>
        <w:rPr>
          <w:rFonts w:ascii="Arial" w:eastAsia="Arial" w:hAnsi="Arial" w:cs="Arial"/>
          <w:sz w:val="20"/>
          <w:szCs w:val="20"/>
        </w:rPr>
        <w:t>Kozodoi</w:t>
      </w:r>
      <w:proofErr w:type="spellEnd"/>
      <w:r>
        <w:rPr>
          <w:rFonts w:ascii="Arial" w:eastAsia="Arial" w:hAnsi="Arial" w:cs="Arial"/>
          <w:sz w:val="20"/>
          <w:szCs w:val="20"/>
        </w:rPr>
        <w:t>, J. Jacob and S. Lessmann, "Fairness in credit scoring: Assessment, implementation and profit implications," European Journal of Operational Research, vol. 297, no. 3, pp. 1083-1094, 2022.</w:t>
      </w:r>
    </w:p>
    <w:p w14:paraId="00BC97F9" w14:textId="77777777" w:rsidR="00935B47" w:rsidRDefault="00935B47" w:rsidP="00935B47">
      <w:pPr>
        <w:spacing w:before="60" w:after="60"/>
        <w:ind w:left="720" w:hanging="360"/>
      </w:pPr>
      <w:r>
        <w:rPr>
          <w:rFonts w:ascii="Arial" w:eastAsia="Arial" w:hAnsi="Arial" w:cs="Arial"/>
          <w:sz w:val="20"/>
          <w:szCs w:val="20"/>
        </w:rPr>
        <w:t>[29] New York State Department of Financial Services, "Report on Apple Card Investigation," NYDFS, Mar. 2021.</w:t>
      </w:r>
    </w:p>
    <w:p w14:paraId="5E1EEE84" w14:textId="6B8EDEFF" w:rsidR="00935B47" w:rsidRDefault="00935B47" w:rsidP="00935B47">
      <w:pPr>
        <w:spacing w:before="60" w:after="60"/>
        <w:ind w:left="720" w:hanging="360"/>
      </w:pPr>
      <w:r>
        <w:rPr>
          <w:rFonts w:ascii="Arial" w:eastAsia="Arial" w:hAnsi="Arial" w:cs="Arial"/>
          <w:sz w:val="20"/>
          <w:szCs w:val="20"/>
        </w:rPr>
        <w:t xml:space="preserve">[30] B. Lefebvre et al., "Algorithmic </w:t>
      </w:r>
      <w:r w:rsidR="00646ABE">
        <w:rPr>
          <w:rFonts w:ascii="Arial" w:eastAsia="Arial" w:hAnsi="Arial" w:cs="Arial"/>
          <w:sz w:val="20"/>
          <w:szCs w:val="20"/>
        </w:rPr>
        <w:t>decision-making</w:t>
      </w:r>
      <w:r>
        <w:rPr>
          <w:rFonts w:ascii="Arial" w:eastAsia="Arial" w:hAnsi="Arial" w:cs="Arial"/>
          <w:sz w:val="20"/>
          <w:szCs w:val="20"/>
        </w:rPr>
        <w:t xml:space="preserve"> methods for fair credit scoring," arXiv:2209.07912, 2022.</w:t>
      </w:r>
    </w:p>
    <w:p w14:paraId="63B12D98" w14:textId="77777777" w:rsidR="00935B47" w:rsidRDefault="00935B47" w:rsidP="00935B47">
      <w:pPr>
        <w:spacing w:before="60" w:after="60"/>
        <w:ind w:left="720" w:hanging="360"/>
      </w:pPr>
      <w:r>
        <w:rPr>
          <w:rFonts w:ascii="Arial" w:eastAsia="Arial" w:hAnsi="Arial" w:cs="Arial"/>
          <w:sz w:val="20"/>
          <w:szCs w:val="20"/>
        </w:rPr>
        <w:t>[31] H. Hofmann, "</w:t>
      </w:r>
      <w:proofErr w:type="spellStart"/>
      <w:r>
        <w:rPr>
          <w:rFonts w:ascii="Arial" w:eastAsia="Arial" w:hAnsi="Arial" w:cs="Arial"/>
          <w:sz w:val="20"/>
          <w:szCs w:val="20"/>
        </w:rPr>
        <w:t>Statlog</w:t>
      </w:r>
      <w:proofErr w:type="spellEnd"/>
      <w:r>
        <w:rPr>
          <w:rFonts w:ascii="Arial" w:eastAsia="Arial" w:hAnsi="Arial" w:cs="Arial"/>
          <w:sz w:val="20"/>
          <w:szCs w:val="20"/>
        </w:rPr>
        <w:t xml:space="preserve"> (German Credit Data) [Dataset]," UCI Machine Learning Repository, 1994, </w:t>
      </w:r>
      <w:proofErr w:type="spellStart"/>
      <w:r>
        <w:rPr>
          <w:rFonts w:ascii="Arial" w:eastAsia="Arial" w:hAnsi="Arial" w:cs="Arial"/>
          <w:sz w:val="20"/>
          <w:szCs w:val="20"/>
        </w:rPr>
        <w:t>doi</w:t>
      </w:r>
      <w:proofErr w:type="spellEnd"/>
      <w:r>
        <w:rPr>
          <w:rFonts w:ascii="Arial" w:eastAsia="Arial" w:hAnsi="Arial" w:cs="Arial"/>
          <w:sz w:val="20"/>
          <w:szCs w:val="20"/>
        </w:rPr>
        <w:t>: 10.24432/C5NC77.</w:t>
      </w:r>
    </w:p>
    <w:p w14:paraId="1F2F1E40" w14:textId="77777777" w:rsidR="00935B47" w:rsidRDefault="00935B47" w:rsidP="00935B47">
      <w:pPr>
        <w:spacing w:before="60" w:after="60"/>
        <w:ind w:left="720" w:hanging="360"/>
      </w:pPr>
      <w:r>
        <w:rPr>
          <w:rFonts w:ascii="Arial" w:eastAsia="Arial" w:hAnsi="Arial" w:cs="Arial"/>
          <w:sz w:val="20"/>
          <w:szCs w:val="20"/>
        </w:rPr>
        <w:t xml:space="preserve">[32] G. </w:t>
      </w:r>
      <w:proofErr w:type="spellStart"/>
      <w:r>
        <w:rPr>
          <w:rFonts w:ascii="Arial" w:eastAsia="Arial" w:hAnsi="Arial" w:cs="Arial"/>
          <w:sz w:val="20"/>
          <w:szCs w:val="20"/>
        </w:rPr>
        <w:t>Coraglia</w:t>
      </w:r>
      <w:proofErr w:type="spellEnd"/>
      <w:r>
        <w:rPr>
          <w:rFonts w:ascii="Arial" w:eastAsia="Arial" w:hAnsi="Arial" w:cs="Arial"/>
          <w:sz w:val="20"/>
          <w:szCs w:val="20"/>
        </w:rPr>
        <w:t xml:space="preserve"> et al., "Evaluating AI fairness in credit scoring with the BRIO tool," arXiv:2406.03292, 2024.</w:t>
      </w:r>
    </w:p>
    <w:p w14:paraId="6DA844A7" w14:textId="77777777" w:rsidR="00935B47" w:rsidRDefault="00935B47" w:rsidP="00935B47">
      <w:pPr>
        <w:spacing w:before="60" w:after="60"/>
        <w:ind w:left="720" w:hanging="360"/>
      </w:pPr>
      <w:r>
        <w:rPr>
          <w:rFonts w:ascii="Arial" w:eastAsia="Arial" w:hAnsi="Arial" w:cs="Arial"/>
          <w:sz w:val="20"/>
          <w:szCs w:val="20"/>
        </w:rPr>
        <w:t>[33] European Banking Authority, "Guidelines on loan origination and monitoring," EBA/GL/2020/06, EBA, Paris, France, May 2020.</w:t>
      </w:r>
    </w:p>
    <w:p w14:paraId="6B5EBED7" w14:textId="77777777" w:rsidR="00935B47" w:rsidRDefault="00935B47" w:rsidP="00935B47">
      <w:pPr>
        <w:spacing w:before="60" w:after="60"/>
        <w:ind w:left="720" w:hanging="360"/>
      </w:pPr>
      <w:r>
        <w:rPr>
          <w:rFonts w:ascii="Arial" w:eastAsia="Arial" w:hAnsi="Arial" w:cs="Arial"/>
          <w:sz w:val="20"/>
          <w:szCs w:val="20"/>
        </w:rPr>
        <w:t>[34] European Banking Authority, "Discussion Paper on Machine Learning for IRB Models," EBA, Paris, France, 2022.</w:t>
      </w:r>
    </w:p>
    <w:p w14:paraId="2CCC27D5" w14:textId="77777777" w:rsidR="00935B47" w:rsidRDefault="00935B47" w:rsidP="00935B47">
      <w:pPr>
        <w:spacing w:before="60" w:after="60"/>
        <w:ind w:left="720" w:hanging="360"/>
      </w:pPr>
      <w:r>
        <w:rPr>
          <w:rFonts w:ascii="Arial" w:eastAsia="Arial" w:hAnsi="Arial" w:cs="Arial"/>
          <w:sz w:val="20"/>
          <w:szCs w:val="20"/>
        </w:rPr>
        <w:t>[35] M. Garza et al., "Policy Knowledge Graphs for regulatory analysis," 2024.</w:t>
      </w:r>
    </w:p>
    <w:p w14:paraId="2F20D53F" w14:textId="77777777" w:rsidR="00935B47" w:rsidRDefault="00935B47" w:rsidP="00935B47">
      <w:pPr>
        <w:spacing w:before="60" w:after="60"/>
        <w:ind w:left="720" w:hanging="360"/>
      </w:pPr>
      <w:r>
        <w:rPr>
          <w:rFonts w:ascii="Arial" w:eastAsia="Arial" w:hAnsi="Arial" w:cs="Arial"/>
          <w:sz w:val="20"/>
          <w:szCs w:val="20"/>
        </w:rPr>
        <w:t>[36] J. Gracia et al., "The Lynx Project: a Legal Knowledge Graph for GDPR contract compliance," in Proc. ESWC, 2020.</w:t>
      </w:r>
    </w:p>
    <w:p w14:paraId="19A19493" w14:textId="77777777" w:rsidR="00935B47" w:rsidRDefault="00935B47" w:rsidP="00935B47">
      <w:pPr>
        <w:spacing w:before="60" w:after="60"/>
        <w:ind w:left="720" w:hanging="360"/>
      </w:pPr>
      <w:r>
        <w:rPr>
          <w:rFonts w:ascii="Arial" w:eastAsia="Arial" w:hAnsi="Arial" w:cs="Arial"/>
          <w:sz w:val="20"/>
          <w:szCs w:val="20"/>
        </w:rPr>
        <w:t xml:space="preserve">[37] A. </w:t>
      </w:r>
      <w:proofErr w:type="spellStart"/>
      <w:r>
        <w:rPr>
          <w:rFonts w:ascii="Arial" w:eastAsia="Arial" w:hAnsi="Arial" w:cs="Arial"/>
          <w:sz w:val="20"/>
          <w:szCs w:val="20"/>
        </w:rPr>
        <w:t>Kurteva</w:t>
      </w:r>
      <w:proofErr w:type="spellEnd"/>
      <w:r>
        <w:rPr>
          <w:rFonts w:ascii="Arial" w:eastAsia="Arial" w:hAnsi="Arial" w:cs="Arial"/>
          <w:sz w:val="20"/>
          <w:szCs w:val="20"/>
        </w:rPr>
        <w:t xml:space="preserve"> et al., "Data Protection by Design Tool for Automated GDPR Compliance Verification," Sensors, vol. 22, no. 7, art. 2763, 2022.</w:t>
      </w:r>
    </w:p>
    <w:p w14:paraId="66CD9834" w14:textId="77777777" w:rsidR="00935B47" w:rsidRDefault="00935B47" w:rsidP="00935B47">
      <w:pPr>
        <w:spacing w:before="60" w:after="60"/>
        <w:ind w:left="720" w:hanging="360"/>
      </w:pPr>
      <w:r>
        <w:rPr>
          <w:rFonts w:ascii="Arial" w:eastAsia="Arial" w:hAnsi="Arial" w:cs="Arial"/>
          <w:sz w:val="20"/>
          <w:szCs w:val="20"/>
        </w:rPr>
        <w:t>[38] H. J. Pandit et al., "Data Privacy Vocabulary (DPV) -- Version 2," in Proc. ISWC 2024, Springer LNCS 15233, 2025, pp. 174-193.</w:t>
      </w:r>
    </w:p>
    <w:p w14:paraId="7854E3B2" w14:textId="77777777" w:rsidR="00935B47" w:rsidRDefault="00935B47" w:rsidP="00935B47">
      <w:pPr>
        <w:spacing w:before="60" w:after="60"/>
        <w:ind w:left="720" w:hanging="360"/>
      </w:pPr>
      <w:r>
        <w:rPr>
          <w:rFonts w:ascii="Arial" w:eastAsia="Arial" w:hAnsi="Arial" w:cs="Arial"/>
          <w:sz w:val="20"/>
          <w:szCs w:val="20"/>
        </w:rPr>
        <w:t xml:space="preserve">[39] D. </w:t>
      </w:r>
      <w:proofErr w:type="spellStart"/>
      <w:r>
        <w:rPr>
          <w:rFonts w:ascii="Arial" w:eastAsia="Arial" w:hAnsi="Arial" w:cs="Arial"/>
          <w:sz w:val="20"/>
          <w:szCs w:val="20"/>
        </w:rPr>
        <w:t>Golpayegani</w:t>
      </w:r>
      <w:proofErr w:type="spellEnd"/>
      <w:r>
        <w:rPr>
          <w:rFonts w:ascii="Arial" w:eastAsia="Arial" w:hAnsi="Arial" w:cs="Arial"/>
          <w:sz w:val="20"/>
          <w:szCs w:val="20"/>
        </w:rPr>
        <w:t xml:space="preserve">, H. J. Pandit and D. Lewis, "AIRO: An Ontology for Representing AI Risks Based on the Proposed EU AI Act," in Proc. </w:t>
      </w:r>
      <w:proofErr w:type="spellStart"/>
      <w:r>
        <w:rPr>
          <w:rFonts w:ascii="Arial" w:eastAsia="Arial" w:hAnsi="Arial" w:cs="Arial"/>
          <w:sz w:val="20"/>
          <w:szCs w:val="20"/>
        </w:rPr>
        <w:t>SEMANTiCS</w:t>
      </w:r>
      <w:proofErr w:type="spellEnd"/>
      <w:r>
        <w:rPr>
          <w:rFonts w:ascii="Arial" w:eastAsia="Arial" w:hAnsi="Arial" w:cs="Arial"/>
          <w:sz w:val="20"/>
          <w:szCs w:val="20"/>
        </w:rPr>
        <w:t xml:space="preserve"> 2022, Vienna, Austria, Sep. 2022.</w:t>
      </w:r>
    </w:p>
    <w:p w14:paraId="6BB01793" w14:textId="77777777" w:rsidR="00935B47" w:rsidRDefault="00935B47" w:rsidP="00935B47">
      <w:pPr>
        <w:spacing w:before="60" w:after="60"/>
        <w:ind w:left="720" w:hanging="360"/>
      </w:pPr>
      <w:r>
        <w:rPr>
          <w:rFonts w:ascii="Arial" w:eastAsia="Arial" w:hAnsi="Arial" w:cs="Arial"/>
          <w:sz w:val="20"/>
          <w:szCs w:val="20"/>
        </w:rPr>
        <w:t xml:space="preserve">[40] D. </w:t>
      </w:r>
      <w:proofErr w:type="spellStart"/>
      <w:r>
        <w:rPr>
          <w:rFonts w:ascii="Arial" w:eastAsia="Arial" w:hAnsi="Arial" w:cs="Arial"/>
          <w:sz w:val="20"/>
          <w:szCs w:val="20"/>
        </w:rPr>
        <w:t>Golpayegani</w:t>
      </w:r>
      <w:proofErr w:type="spellEnd"/>
      <w:r>
        <w:rPr>
          <w:rFonts w:ascii="Arial" w:eastAsia="Arial" w:hAnsi="Arial" w:cs="Arial"/>
          <w:sz w:val="20"/>
          <w:szCs w:val="20"/>
        </w:rPr>
        <w:t>, H. J. Pandit and D. Lewis, "VAIR: Vocabulary of AI Risks," ADAPT Centre, Trinity College Dublin, 2023.</w:t>
      </w:r>
    </w:p>
    <w:p w14:paraId="5D85629A" w14:textId="77777777" w:rsidR="00935B47" w:rsidRDefault="00935B47" w:rsidP="00935B47">
      <w:pPr>
        <w:spacing w:before="60" w:after="60"/>
        <w:ind w:left="720" w:hanging="360"/>
      </w:pPr>
      <w:r>
        <w:rPr>
          <w:rFonts w:ascii="Arial" w:eastAsia="Arial" w:hAnsi="Arial" w:cs="Arial"/>
          <w:sz w:val="20"/>
          <w:szCs w:val="20"/>
        </w:rPr>
        <w:t xml:space="preserve">[41] D. </w:t>
      </w:r>
      <w:proofErr w:type="spellStart"/>
      <w:r>
        <w:rPr>
          <w:rFonts w:ascii="Arial" w:eastAsia="Arial" w:hAnsi="Arial" w:cs="Arial"/>
          <w:sz w:val="20"/>
          <w:szCs w:val="20"/>
        </w:rPr>
        <w:t>Golpayegani</w:t>
      </w:r>
      <w:proofErr w:type="spellEnd"/>
      <w:r>
        <w:rPr>
          <w:rFonts w:ascii="Arial" w:eastAsia="Arial" w:hAnsi="Arial" w:cs="Arial"/>
          <w:sz w:val="20"/>
          <w:szCs w:val="20"/>
        </w:rPr>
        <w:t xml:space="preserve"> et al., "AI Cards: Towards an Applied Framework for Machine-Readable AI and Risk Documentation," in Privacy Technologies and Policy (APF 2024), Springer LNCS 14831, 2024, pp. 48-72.</w:t>
      </w:r>
    </w:p>
    <w:p w14:paraId="6124A60E" w14:textId="77777777" w:rsidR="00935B47" w:rsidRDefault="00935B47" w:rsidP="00935B47">
      <w:pPr>
        <w:spacing w:before="60" w:after="60"/>
        <w:ind w:left="720" w:hanging="360"/>
      </w:pPr>
      <w:r>
        <w:rPr>
          <w:rFonts w:ascii="Arial" w:eastAsia="Arial" w:hAnsi="Arial" w:cs="Arial"/>
          <w:sz w:val="20"/>
          <w:szCs w:val="20"/>
        </w:rPr>
        <w:t>[42] D. Lewis et al., "Mapping the Regulatory Learning Space for the EU AI Act," arXiv:2503.05787, 2025.</w:t>
      </w:r>
    </w:p>
    <w:p w14:paraId="56034771" w14:textId="77777777" w:rsidR="00935B47" w:rsidRDefault="00935B47" w:rsidP="00935B47">
      <w:pPr>
        <w:spacing w:before="60" w:after="60"/>
        <w:ind w:left="720" w:hanging="360"/>
      </w:pPr>
      <w:r>
        <w:rPr>
          <w:rFonts w:ascii="Arial" w:eastAsia="Arial" w:hAnsi="Arial" w:cs="Arial"/>
          <w:sz w:val="20"/>
          <w:szCs w:val="20"/>
        </w:rPr>
        <w:t>[43] V. Casola et al., "</w:t>
      </w:r>
      <w:proofErr w:type="spellStart"/>
      <w:r>
        <w:rPr>
          <w:rFonts w:ascii="Arial" w:eastAsia="Arial" w:hAnsi="Arial" w:cs="Arial"/>
          <w:sz w:val="20"/>
          <w:szCs w:val="20"/>
        </w:rPr>
        <w:t>ThreatFinderAI</w:t>
      </w:r>
      <w:proofErr w:type="spellEnd"/>
      <w:r>
        <w:rPr>
          <w:rFonts w:ascii="Arial" w:eastAsia="Arial" w:hAnsi="Arial" w:cs="Arial"/>
          <w:sz w:val="20"/>
          <w:szCs w:val="20"/>
        </w:rPr>
        <w:t>: an automated threat modelling approach for LLM-based applications," 2024.</w:t>
      </w:r>
    </w:p>
    <w:p w14:paraId="56D8AA84" w14:textId="77777777" w:rsidR="00935B47" w:rsidRDefault="00935B47" w:rsidP="00935B47">
      <w:pPr>
        <w:spacing w:before="60" w:after="60"/>
        <w:ind w:left="720" w:hanging="360"/>
      </w:pPr>
      <w:r>
        <w:rPr>
          <w:rFonts w:ascii="Arial" w:eastAsia="Arial" w:hAnsi="Arial" w:cs="Arial"/>
          <w:sz w:val="20"/>
          <w:szCs w:val="20"/>
        </w:rPr>
        <w:t>[44] A. R. Hevner, S. T. March, J. Park and S. Ram, "Design science in information systems research," MIS Quarterly, vol. 28, no. 1, pp. 75-105, Mar. 2004.</w:t>
      </w:r>
    </w:p>
    <w:p w14:paraId="51127C71" w14:textId="77777777" w:rsidR="00935B47" w:rsidRDefault="00935B47" w:rsidP="00935B47">
      <w:pPr>
        <w:spacing w:before="60" w:after="60"/>
        <w:ind w:left="720" w:hanging="360"/>
      </w:pPr>
      <w:r>
        <w:rPr>
          <w:rFonts w:ascii="Arial" w:eastAsia="Arial" w:hAnsi="Arial" w:cs="Arial"/>
          <w:sz w:val="20"/>
          <w:szCs w:val="20"/>
        </w:rPr>
        <w:t xml:space="preserve">[45] K. Peffers, T. </w:t>
      </w:r>
      <w:proofErr w:type="spellStart"/>
      <w:r>
        <w:rPr>
          <w:rFonts w:ascii="Arial" w:eastAsia="Arial" w:hAnsi="Arial" w:cs="Arial"/>
          <w:sz w:val="20"/>
          <w:szCs w:val="20"/>
        </w:rPr>
        <w:t>Tuunanen</w:t>
      </w:r>
      <w:proofErr w:type="spellEnd"/>
      <w:r>
        <w:rPr>
          <w:rFonts w:ascii="Arial" w:eastAsia="Arial" w:hAnsi="Arial" w:cs="Arial"/>
          <w:sz w:val="20"/>
          <w:szCs w:val="20"/>
        </w:rPr>
        <w:t>, M. A. Rothenberger and S. Chatterjee, "A design science research methodology for information systems research," Journal of Management Information Systems, vol. 24, no. 3, pp. 45-77, 2008.</w:t>
      </w:r>
    </w:p>
    <w:p w14:paraId="4D3CE9DF" w14:textId="77777777" w:rsidR="00935B47" w:rsidRDefault="00935B47" w:rsidP="00935B47">
      <w:pPr>
        <w:spacing w:before="60" w:after="60"/>
        <w:ind w:left="720" w:hanging="360"/>
      </w:pPr>
      <w:r>
        <w:rPr>
          <w:rFonts w:ascii="Arial" w:eastAsia="Arial" w:hAnsi="Arial" w:cs="Arial"/>
          <w:sz w:val="20"/>
          <w:szCs w:val="20"/>
        </w:rPr>
        <w:lastRenderedPageBreak/>
        <w:t xml:space="preserve">[46] A. B. Arrieta, N. Diaz-Rodriguez, J. Del Ser, A. </w:t>
      </w:r>
      <w:proofErr w:type="spellStart"/>
      <w:r>
        <w:rPr>
          <w:rFonts w:ascii="Arial" w:eastAsia="Arial" w:hAnsi="Arial" w:cs="Arial"/>
          <w:sz w:val="20"/>
          <w:szCs w:val="20"/>
        </w:rPr>
        <w:t>Bennetot</w:t>
      </w:r>
      <w:proofErr w:type="spellEnd"/>
      <w:r>
        <w:rPr>
          <w:rFonts w:ascii="Arial" w:eastAsia="Arial" w:hAnsi="Arial" w:cs="Arial"/>
          <w:sz w:val="20"/>
          <w:szCs w:val="20"/>
        </w:rPr>
        <w:t xml:space="preserve">, S. </w:t>
      </w:r>
      <w:proofErr w:type="spellStart"/>
      <w:r>
        <w:rPr>
          <w:rFonts w:ascii="Arial" w:eastAsia="Arial" w:hAnsi="Arial" w:cs="Arial"/>
          <w:sz w:val="20"/>
          <w:szCs w:val="20"/>
        </w:rPr>
        <w:t>Tabik</w:t>
      </w:r>
      <w:proofErr w:type="spellEnd"/>
      <w:r>
        <w:rPr>
          <w:rFonts w:ascii="Arial" w:eastAsia="Arial" w:hAnsi="Arial" w:cs="Arial"/>
          <w:sz w:val="20"/>
          <w:szCs w:val="20"/>
        </w:rPr>
        <w:t>, A. Barbado, S. Garcia, S. Gil-Lopez, D. Molina, R. Benjamins, R. Chatila and F. Herrera, "Explainable Artificial Intelligence (XAI): Concepts, taxonomies, opportunities and challenges toward responsible AI," Information Fusion, vol. 58, pp. 82-115, Jun. 2020.</w:t>
      </w:r>
    </w:p>
    <w:p w14:paraId="34E4DC4A" w14:textId="77777777" w:rsidR="00935B47" w:rsidRDefault="00935B47" w:rsidP="00935B47">
      <w:pPr>
        <w:spacing w:before="60" w:after="60"/>
        <w:ind w:left="720" w:hanging="360"/>
      </w:pPr>
      <w:r>
        <w:rPr>
          <w:rFonts w:ascii="Arial" w:eastAsia="Arial" w:hAnsi="Arial" w:cs="Arial"/>
          <w:sz w:val="20"/>
          <w:szCs w:val="20"/>
        </w:rPr>
        <w:t>[47] C. Rudin, "Stop explaining black box machine learning models for high stakes decisions and use interpretable models instead," Nature Machine Intelligence, vol. 1, no. 5, pp. 206-215, 2019.</w:t>
      </w:r>
    </w:p>
    <w:p w14:paraId="4AE3D946" w14:textId="77777777" w:rsidR="00935B47" w:rsidRDefault="00935B47" w:rsidP="00935B47">
      <w:pPr>
        <w:spacing w:before="60" w:after="60"/>
        <w:ind w:left="720" w:hanging="360"/>
      </w:pPr>
      <w:r>
        <w:rPr>
          <w:rFonts w:ascii="Arial" w:eastAsia="Arial" w:hAnsi="Arial" w:cs="Arial"/>
          <w:sz w:val="20"/>
          <w:szCs w:val="20"/>
        </w:rPr>
        <w:t xml:space="preserve">[48] B. </w:t>
      </w:r>
      <w:proofErr w:type="spellStart"/>
      <w:r>
        <w:rPr>
          <w:rFonts w:ascii="Arial" w:eastAsia="Arial" w:hAnsi="Arial" w:cs="Arial"/>
          <w:sz w:val="20"/>
          <w:szCs w:val="20"/>
        </w:rPr>
        <w:t>Gyevnar</w:t>
      </w:r>
      <w:proofErr w:type="spellEnd"/>
      <w:r>
        <w:rPr>
          <w:rFonts w:ascii="Arial" w:eastAsia="Arial" w:hAnsi="Arial" w:cs="Arial"/>
          <w:sz w:val="20"/>
          <w:szCs w:val="20"/>
        </w:rPr>
        <w:t xml:space="preserve">, N. Ferguson and B. Schafer, "Bridging the Transparency Gap: What Can Explainable AI Learn </w:t>
      </w:r>
      <w:proofErr w:type="gramStart"/>
      <w:r>
        <w:rPr>
          <w:rFonts w:ascii="Arial" w:eastAsia="Arial" w:hAnsi="Arial" w:cs="Arial"/>
          <w:sz w:val="20"/>
          <w:szCs w:val="20"/>
        </w:rPr>
        <w:t>From</w:t>
      </w:r>
      <w:proofErr w:type="gramEnd"/>
      <w:r>
        <w:rPr>
          <w:rFonts w:ascii="Arial" w:eastAsia="Arial" w:hAnsi="Arial" w:cs="Arial"/>
          <w:sz w:val="20"/>
          <w:szCs w:val="20"/>
        </w:rPr>
        <w:t xml:space="preserve"> the AI </w:t>
      </w:r>
      <w:proofErr w:type="gramStart"/>
      <w:r>
        <w:rPr>
          <w:rFonts w:ascii="Arial" w:eastAsia="Arial" w:hAnsi="Arial" w:cs="Arial"/>
          <w:sz w:val="20"/>
          <w:szCs w:val="20"/>
        </w:rPr>
        <w:t>Act?,</w:t>
      </w:r>
      <w:proofErr w:type="gramEnd"/>
      <w:r>
        <w:rPr>
          <w:rFonts w:ascii="Arial" w:eastAsia="Arial" w:hAnsi="Arial" w:cs="Arial"/>
          <w:sz w:val="20"/>
          <w:szCs w:val="20"/>
        </w:rPr>
        <w:t>" arXiv:2302.10766, 2023.</w:t>
      </w:r>
    </w:p>
    <w:p w14:paraId="22133CD4" w14:textId="77777777" w:rsidR="00935B47" w:rsidRDefault="00935B47" w:rsidP="00935B47">
      <w:pPr>
        <w:spacing w:before="60" w:after="60"/>
        <w:ind w:left="720" w:hanging="360"/>
      </w:pPr>
      <w:r>
        <w:rPr>
          <w:rFonts w:ascii="Arial" w:eastAsia="Arial" w:hAnsi="Arial" w:cs="Arial"/>
          <w:sz w:val="20"/>
          <w:szCs w:val="20"/>
        </w:rPr>
        <w:t>[49] S. M. Lundberg and S.-I. Lee, "A unified approach to interpreting model predictions," in Advances in Neural Information Processing Systems (</w:t>
      </w:r>
      <w:proofErr w:type="spellStart"/>
      <w:r>
        <w:rPr>
          <w:rFonts w:ascii="Arial" w:eastAsia="Arial" w:hAnsi="Arial" w:cs="Arial"/>
          <w:sz w:val="20"/>
          <w:szCs w:val="20"/>
        </w:rPr>
        <w:t>NeurIPS</w:t>
      </w:r>
      <w:proofErr w:type="spellEnd"/>
      <w:r>
        <w:rPr>
          <w:rFonts w:ascii="Arial" w:eastAsia="Arial" w:hAnsi="Arial" w:cs="Arial"/>
          <w:sz w:val="20"/>
          <w:szCs w:val="20"/>
        </w:rPr>
        <w:t>), vol. 30, pp. 4765-4774, 2017.</w:t>
      </w:r>
    </w:p>
    <w:p w14:paraId="57116828" w14:textId="77777777" w:rsidR="00935B47" w:rsidRDefault="00935B47" w:rsidP="00935B47">
      <w:pPr>
        <w:spacing w:before="60" w:after="60"/>
        <w:ind w:left="720" w:hanging="360"/>
      </w:pPr>
      <w:r>
        <w:rPr>
          <w:rFonts w:ascii="Arial" w:eastAsia="Arial" w:hAnsi="Arial" w:cs="Arial"/>
          <w:sz w:val="20"/>
          <w:szCs w:val="20"/>
        </w:rPr>
        <w:t xml:space="preserve">[50] M. T. Ribeiro, S. Singh and C. </w:t>
      </w:r>
      <w:proofErr w:type="spellStart"/>
      <w:r>
        <w:rPr>
          <w:rFonts w:ascii="Arial" w:eastAsia="Arial" w:hAnsi="Arial" w:cs="Arial"/>
          <w:sz w:val="20"/>
          <w:szCs w:val="20"/>
        </w:rPr>
        <w:t>Guestrin</w:t>
      </w:r>
      <w:proofErr w:type="spellEnd"/>
      <w:r>
        <w:rPr>
          <w:rFonts w:ascii="Arial" w:eastAsia="Arial" w:hAnsi="Arial" w:cs="Arial"/>
          <w:sz w:val="20"/>
          <w:szCs w:val="20"/>
        </w:rPr>
        <w:t>, "Why should I trust you? Explaining the predictions of any classifier," in Proc. 22nd ACM SIGKDD International Conference on Knowledge Discovery and Data Mining, 2016, pp. 1135-1144.</w:t>
      </w:r>
    </w:p>
    <w:p w14:paraId="51D5A9E3" w14:textId="77777777" w:rsidR="00935B47" w:rsidRDefault="00935B47" w:rsidP="00935B47">
      <w:pPr>
        <w:spacing w:before="60" w:after="60"/>
        <w:ind w:left="720" w:hanging="360"/>
      </w:pPr>
      <w:r>
        <w:rPr>
          <w:rFonts w:ascii="Arial" w:eastAsia="Arial" w:hAnsi="Arial" w:cs="Arial"/>
          <w:sz w:val="20"/>
          <w:szCs w:val="20"/>
        </w:rPr>
        <w:t>[51] E. Dumitrescu et al., "Explainable artificial intelligence (XAI) in finance: a systematic literature review," Artificial Intelligence Review, Springer, 2024.</w:t>
      </w:r>
    </w:p>
    <w:p w14:paraId="0CE33DC3" w14:textId="77777777" w:rsidR="00935B47" w:rsidRDefault="00935B47" w:rsidP="00935B47">
      <w:pPr>
        <w:spacing w:before="60" w:after="60"/>
        <w:ind w:left="720" w:hanging="360"/>
      </w:pPr>
      <w:r>
        <w:rPr>
          <w:rFonts w:ascii="Arial" w:eastAsia="Arial" w:hAnsi="Arial" w:cs="Arial"/>
          <w:sz w:val="20"/>
          <w:szCs w:val="20"/>
        </w:rPr>
        <w:t>[52] ISO, ISO 31000:2018 -- Risk management -- Guidelines, International Organization for Standardization, Geneva, Switzerland, 2018.</w:t>
      </w:r>
    </w:p>
    <w:p w14:paraId="04C52295" w14:textId="77777777" w:rsidR="00935B47" w:rsidRDefault="00935B47" w:rsidP="00935B47">
      <w:pPr>
        <w:spacing w:before="60" w:after="60"/>
        <w:ind w:left="720" w:hanging="360"/>
      </w:pPr>
      <w:r>
        <w:rPr>
          <w:rFonts w:ascii="Arial" w:eastAsia="Arial" w:hAnsi="Arial" w:cs="Arial"/>
          <w:sz w:val="20"/>
          <w:szCs w:val="20"/>
        </w:rPr>
        <w:t>[53] A. Sridhar et al., "Standardized Threat Taxonomy for AI Security, Governance, and Regulatory Compliance," arXiv:2511.21901, 2025.</w:t>
      </w:r>
    </w:p>
    <w:p w14:paraId="19CC5F36" w14:textId="77777777" w:rsidR="00935B47" w:rsidRDefault="00935B47" w:rsidP="00935B47">
      <w:pPr>
        <w:spacing w:before="60" w:after="60"/>
        <w:ind w:left="720" w:hanging="360"/>
      </w:pPr>
      <w:r>
        <w:rPr>
          <w:rFonts w:ascii="Arial" w:eastAsia="Arial" w:hAnsi="Arial" w:cs="Arial"/>
          <w:sz w:val="20"/>
          <w:szCs w:val="20"/>
        </w:rPr>
        <w:t>[54] M. Hardt, E. Price and N. Srebro, "Equality of opportunity in supervised learning," in Advances in Neural Information Processing Systems (</w:t>
      </w:r>
      <w:proofErr w:type="spellStart"/>
      <w:r>
        <w:rPr>
          <w:rFonts w:ascii="Arial" w:eastAsia="Arial" w:hAnsi="Arial" w:cs="Arial"/>
          <w:sz w:val="20"/>
          <w:szCs w:val="20"/>
        </w:rPr>
        <w:t>NeurIPS</w:t>
      </w:r>
      <w:proofErr w:type="spellEnd"/>
      <w:r>
        <w:rPr>
          <w:rFonts w:ascii="Arial" w:eastAsia="Arial" w:hAnsi="Arial" w:cs="Arial"/>
          <w:sz w:val="20"/>
          <w:szCs w:val="20"/>
        </w:rPr>
        <w:t>), vol. 29, pp. 3323-3331, 2016.</w:t>
      </w:r>
    </w:p>
    <w:p w14:paraId="506D4D1E" w14:textId="77777777" w:rsidR="00935B47" w:rsidRDefault="00935B47" w:rsidP="00935B47">
      <w:pPr>
        <w:spacing w:before="60" w:after="60"/>
        <w:ind w:left="720" w:hanging="360"/>
      </w:pPr>
      <w:r>
        <w:rPr>
          <w:rFonts w:ascii="Arial" w:eastAsia="Arial" w:hAnsi="Arial" w:cs="Arial"/>
          <w:sz w:val="20"/>
          <w:szCs w:val="20"/>
        </w:rPr>
        <w:t xml:space="preserve">[55] R. K. E. Bellamy, K. Dey, M. Hind, S. C. Hoffman, S. Houde, K. Kannan, P. Lohia, J. Martino, S. Mehta, A. </w:t>
      </w:r>
      <w:proofErr w:type="spellStart"/>
      <w:r>
        <w:rPr>
          <w:rFonts w:ascii="Arial" w:eastAsia="Arial" w:hAnsi="Arial" w:cs="Arial"/>
          <w:sz w:val="20"/>
          <w:szCs w:val="20"/>
        </w:rPr>
        <w:t>Mojsilovic</w:t>
      </w:r>
      <w:proofErr w:type="spellEnd"/>
      <w:r>
        <w:rPr>
          <w:rFonts w:ascii="Arial" w:eastAsia="Arial" w:hAnsi="Arial" w:cs="Arial"/>
          <w:sz w:val="20"/>
          <w:szCs w:val="20"/>
        </w:rPr>
        <w:t xml:space="preserve">, S. Nagar, K. N. Ramamurthy, J. Richards, D. Saha, P. </w:t>
      </w:r>
      <w:proofErr w:type="spellStart"/>
      <w:r>
        <w:rPr>
          <w:rFonts w:ascii="Arial" w:eastAsia="Arial" w:hAnsi="Arial" w:cs="Arial"/>
          <w:sz w:val="20"/>
          <w:szCs w:val="20"/>
        </w:rPr>
        <w:t>Sattigeri</w:t>
      </w:r>
      <w:proofErr w:type="spellEnd"/>
      <w:r>
        <w:rPr>
          <w:rFonts w:ascii="Arial" w:eastAsia="Arial" w:hAnsi="Arial" w:cs="Arial"/>
          <w:sz w:val="20"/>
          <w:szCs w:val="20"/>
        </w:rPr>
        <w:t>, M. Singh, K. R. Varshney and Y. Zhang, "AI Fairness 360: An Extensible Toolkit for Detecting, Understanding, and Mitigating Unwanted Algorithmic Bias," arXiv:1810.01943, 2018.</w:t>
      </w:r>
    </w:p>
    <w:p w14:paraId="32DFF3D4" w14:textId="231FAC42" w:rsidR="00170BBC" w:rsidRPr="00935B47" w:rsidRDefault="00170BBC" w:rsidP="001B46C9">
      <w:pPr>
        <w:rPr>
          <w:rFonts w:ascii="Arial" w:hAnsi="Arial" w:cs="Arial"/>
          <w:sz w:val="56"/>
          <w:szCs w:val="56"/>
        </w:rPr>
      </w:pPr>
    </w:p>
    <w:sectPr w:rsidR="00170BBC" w:rsidRPr="00935B47" w:rsidSect="006E3F5F">
      <w:footerReference w:type="default" r:id="rId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8D50F" w14:textId="77777777" w:rsidR="007315F7" w:rsidRDefault="007315F7" w:rsidP="004F3CF9">
      <w:pPr>
        <w:spacing w:after="0" w:line="240" w:lineRule="auto"/>
      </w:pPr>
      <w:r>
        <w:separator/>
      </w:r>
    </w:p>
  </w:endnote>
  <w:endnote w:type="continuationSeparator" w:id="0">
    <w:p w14:paraId="04913546" w14:textId="77777777" w:rsidR="007315F7" w:rsidRDefault="007315F7" w:rsidP="004F3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E13E9" w14:textId="6B304F3E" w:rsidR="006E3F5F" w:rsidRDefault="006E3F5F">
    <w:pPr>
      <w:pStyle w:val="Footer"/>
      <w:jc w:val="right"/>
    </w:pPr>
  </w:p>
  <w:p w14:paraId="6BF57DBE" w14:textId="0368749E" w:rsidR="00D432EE" w:rsidRPr="00D432EE" w:rsidRDefault="00D432EE" w:rsidP="00D432EE">
    <w:pPr>
      <w:pStyle w:val="Footer"/>
      <w:jc w:val="center"/>
      <w:rPr>
        <w:rFonts w:ascii="Garamond" w:hAnsi="Garamon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48765"/>
      <w:docPartObj>
        <w:docPartGallery w:val="Page Numbers (Bottom of Page)"/>
        <w:docPartUnique/>
      </w:docPartObj>
    </w:sdtPr>
    <w:sdtEndPr>
      <w:rPr>
        <w:noProof/>
      </w:rPr>
    </w:sdtEndPr>
    <w:sdtContent>
      <w:p w14:paraId="2EDA50E3" w14:textId="4FCF84A7" w:rsidR="006E3F5F" w:rsidRDefault="006E3F5F">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085DEE15" w14:textId="77777777" w:rsidR="006E3F5F" w:rsidRPr="00D432EE" w:rsidRDefault="006E3F5F" w:rsidP="00D432EE">
    <w:pPr>
      <w:pStyle w:val="Footer"/>
      <w:jc w:val="center"/>
      <w:rPr>
        <w:rFonts w:ascii="Garamond" w:hAnsi="Garamon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C9573" w14:textId="77777777" w:rsidR="007315F7" w:rsidRDefault="007315F7" w:rsidP="004F3CF9">
      <w:pPr>
        <w:spacing w:after="0" w:line="240" w:lineRule="auto"/>
      </w:pPr>
      <w:r>
        <w:separator/>
      </w:r>
    </w:p>
  </w:footnote>
  <w:footnote w:type="continuationSeparator" w:id="0">
    <w:p w14:paraId="14F1391F" w14:textId="77777777" w:rsidR="007315F7" w:rsidRDefault="007315F7" w:rsidP="004F3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4F1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BBC202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81E72F3"/>
    <w:multiLevelType w:val="multilevel"/>
    <w:tmpl w:val="BE30CD6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93492701">
    <w:abstractNumId w:val="1"/>
  </w:num>
  <w:num w:numId="2" w16cid:durableId="892034914">
    <w:abstractNumId w:val="0"/>
  </w:num>
  <w:num w:numId="3" w16cid:durableId="1246841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7EF"/>
    <w:rsid w:val="000631F1"/>
    <w:rsid w:val="00082387"/>
    <w:rsid w:val="00170BBC"/>
    <w:rsid w:val="001B46C9"/>
    <w:rsid w:val="002B650D"/>
    <w:rsid w:val="0039133C"/>
    <w:rsid w:val="0048283B"/>
    <w:rsid w:val="004F3CF9"/>
    <w:rsid w:val="005057C1"/>
    <w:rsid w:val="005A7C9D"/>
    <w:rsid w:val="00646ABE"/>
    <w:rsid w:val="00663325"/>
    <w:rsid w:val="0068055C"/>
    <w:rsid w:val="006E3F5F"/>
    <w:rsid w:val="007018D2"/>
    <w:rsid w:val="007315F7"/>
    <w:rsid w:val="008A2F04"/>
    <w:rsid w:val="008D2CE2"/>
    <w:rsid w:val="00935B47"/>
    <w:rsid w:val="00AF5791"/>
    <w:rsid w:val="00C87D44"/>
    <w:rsid w:val="00D432EE"/>
    <w:rsid w:val="00EE1355"/>
    <w:rsid w:val="00F54E08"/>
    <w:rsid w:val="00FD37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BBA0D"/>
  <w15:chartTrackingRefBased/>
  <w15:docId w15:val="{65460557-D1B4-4ABB-B200-E02482941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B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35B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3C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3CF9"/>
  </w:style>
  <w:style w:type="paragraph" w:styleId="Footer">
    <w:name w:val="footer"/>
    <w:basedOn w:val="Normal"/>
    <w:link w:val="FooterChar"/>
    <w:uiPriority w:val="99"/>
    <w:unhideWhenUsed/>
    <w:rsid w:val="004F3C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3CF9"/>
  </w:style>
  <w:style w:type="character" w:customStyle="1" w:styleId="Heading1Char">
    <w:name w:val="Heading 1 Char"/>
    <w:basedOn w:val="DefaultParagraphFont"/>
    <w:link w:val="Heading1"/>
    <w:uiPriority w:val="9"/>
    <w:rsid w:val="00170BBC"/>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70BBC"/>
    <w:pPr>
      <w:ind w:left="720"/>
      <w:contextualSpacing/>
    </w:pPr>
  </w:style>
  <w:style w:type="paragraph" w:styleId="TOCHeading">
    <w:name w:val="TOC Heading"/>
    <w:basedOn w:val="Heading1"/>
    <w:next w:val="Normal"/>
    <w:uiPriority w:val="39"/>
    <w:unhideWhenUsed/>
    <w:qFormat/>
    <w:rsid w:val="001B46C9"/>
    <w:pPr>
      <w:outlineLvl w:val="9"/>
    </w:pPr>
    <w:rPr>
      <w:lang w:val="en-US"/>
    </w:rPr>
  </w:style>
  <w:style w:type="paragraph" w:styleId="TOC1">
    <w:name w:val="toc 1"/>
    <w:basedOn w:val="Normal"/>
    <w:next w:val="Normal"/>
    <w:autoRedefine/>
    <w:uiPriority w:val="39"/>
    <w:unhideWhenUsed/>
    <w:rsid w:val="006E3F5F"/>
    <w:pPr>
      <w:tabs>
        <w:tab w:val="right" w:leader="dot" w:pos="9016"/>
      </w:tabs>
      <w:spacing w:after="100"/>
    </w:pPr>
    <w:rPr>
      <w:rFonts w:ascii="Arial" w:eastAsia="Arial" w:hAnsi="Arial" w:cs="Arial"/>
      <w:b/>
      <w:bCs/>
      <w:noProof/>
    </w:rPr>
  </w:style>
  <w:style w:type="character" w:styleId="Hyperlink">
    <w:name w:val="Hyperlink"/>
    <w:basedOn w:val="DefaultParagraphFont"/>
    <w:uiPriority w:val="99"/>
    <w:unhideWhenUsed/>
    <w:rsid w:val="001B46C9"/>
    <w:rPr>
      <w:color w:val="0563C1" w:themeColor="hyperlink"/>
      <w:u w:val="single"/>
    </w:rPr>
  </w:style>
  <w:style w:type="character" w:customStyle="1" w:styleId="Heading2Char">
    <w:name w:val="Heading 2 Char"/>
    <w:basedOn w:val="DefaultParagraphFont"/>
    <w:link w:val="Heading2"/>
    <w:uiPriority w:val="9"/>
    <w:semiHidden/>
    <w:rsid w:val="00935B47"/>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E3F5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B1036-F71C-460F-8A1C-57662B448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15</Pages>
  <Words>6046</Words>
  <Characters>34467</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Enda Fallon</dc:creator>
  <cp:keywords/>
  <dc:description/>
  <cp:lastModifiedBy>Suhana Sayyad</cp:lastModifiedBy>
  <cp:revision>11</cp:revision>
  <dcterms:created xsi:type="dcterms:W3CDTF">2020-02-19T11:59:00Z</dcterms:created>
  <dcterms:modified xsi:type="dcterms:W3CDTF">2026-06-03T14:45:00Z</dcterms:modified>
</cp:coreProperties>
</file>