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p>
      <w:pPr>
        <w:pStyle w:val="Heading2"/>
      </w:pPr>
      <w:r>
        <w:t xml:space="preserve">A.20 Backend state contract</w:t>
      </w:r>
    </w:p>
    <w:p>
      <w:r>
        <w:t xml:space="preserve">POST /api/network/state accepts the state, measurements, and an optional QoS policy. The backend’s status view exposes the effective state and diagnostics, while GET /api/network/stream publishes status changes as server-sent network events.</w:t>
      </w:r>
    </w:p>
    <w:p>
      <w:r>
        <w:t xml:space="preserve">Source: raspberry-platform/backend/routes/network/network.js</w:t>
      </w:r>
    </w:p>
    <w:p>
      <w:pPr>
        <w:pStyle w:val="Heading2"/>
      </w:pPr>
      <w:r>
        <w:t xml:space="preserve">A.21 Status history retention</w:t>
      </w:r>
    </w:p>
    <w:p>
      <w:r>
        <w:t xml:space="preserve">The network service retains at most 120 in-memory status samples for the operator view. This diagnostic history is distinct from the SQLite MQTT message buffer, so a process restart clears the trend even if operational messages still await delivery.</w:t>
      </w:r>
    </w:p>
    <w:p>
      <w:r>
        <w:t xml:space="preserve">Source: raspberry-platform/backend/services/network/network.js</w:t>
      </w:r>
    </w:p>
    <w:p>
      <w:pPr>
        <w:pStyle w:val="Heading2"/>
      </w:pPr>
      <w:r>
        <w:t xml:space="preserve">A.22 Buffer priority evidence</w:t>
      </w:r>
    </w:p>
    <w:p>
      <w:r>
        <w:t xml:space="preserve">The status response groups unflushed messages in CRITICAL, HIGH, MEDIUM, LOW order and reports each group’s count and oldest timestamp. This exposes whether urgent messages are waiting, instead of hiding that fact behind one total count.</w:t>
      </w:r>
    </w:p>
    <w:p>
      <w:r>
        <w:t xml:space="preserve">Source: raspberry-platform/backend/services/network/network.js</w:t>
      </w:r>
    </w:p>
    <w:p>
      <w:pPr>
        <w:pStyle w:val="Heading2"/>
      </w:pPr>
      <w:r>
        <w:t xml:space="preserve">A.23 Diagnostic payload privacy</w:t>
      </w:r>
    </w:p>
    <w:p>
      <w:r>
        <w:t xml:space="preserve">The browser-facing buffer message list includes identifiers, topics, priorities, QoS, and creation times but omits payloads. This still supports queue inspection without displaying registration names, ages, or medical notes that an MQTT payload may contain.</w:t>
      </w:r>
    </w:p>
    <w:p>
      <w:r>
        <w:t xml:space="preserve">Source: raspberry-platform/backend/services/network/network.js</w:t>
      </w:r>
    </w:p>
    <w:p>
      <w:pPr>
        <w:pStyle w:val="Heading2"/>
      </w:pPr>
      <w:r>
        <w:t xml:space="preserve">A.24 Publish path diagnostic</w:t>
      </w:r>
    </w:p>
    <w:p>
      <w:r>
        <w:t xml:space="preserve">The test-publish service maps each priority to a known source and action and sends a synthetic diagnostic message. It provides an end-to-end way to observe publish versus buffer behavior without waiting for a real registration or distribution event.</w:t>
      </w:r>
    </w:p>
    <w:p>
      <w:r>
        <w:t xml:space="preserve">Source: raspberry-platform/backend/services/network/network.js</w:t>
      </w:r>
    </w:p>
    <w:p>
      <w:pPr>
        <w:pStyle w:val="Heading2"/>
      </w:pPr>
      <w:r>
        <w:t xml:space="preserve">A.25 Network UI verification gap</w:t>
      </w:r>
    </w:p>
    <w:p>
      <w:r>
        <w:t xml:space="preserve">The current NetworkScreen source declares STATE_TONE and Card twice and references an undefined FALLBACK_POLL_MS. The intended status request and event subscription exist, but a frontend build and browser check are needed before treating the operator screen as working.</w:t>
      </w:r>
    </w:p>
    <w:p>
      <w:r>
        <w:t xml:space="preserve">Source: docs/network-monitoring-ui-review.md</w:t>
      </w:r>
    </w:p>
    <w:p>
      <w:pPr>
        <w:pStyle w:val="Heading2"/>
      </w:pPr>
      <w:r>
        <w:t xml:space="preserve">A.26 Sri Lankan resource scope</w:t>
      </w:r>
    </w:p>
    <w:p>
      <w:r>
        <w:t xml:space="preserve">The newer Sri Lankan resource predictor calculates food and drinking-water requirements only. Shelter and medical staffing are outside this module, so a resource plan should identify which product produced each quantity rather than combine unlike outputs under one generic model label.</w:t>
      </w:r>
    </w:p>
    <w:p>
      <w:r>
        <w:t xml:space="preserve">Source: cloud-platform/prediction-models/src/lka_resource_predictor.py</w:t>
      </w:r>
    </w:p>
    <w:p>
      <w:pPr>
        <w:pStyle w:val="Heading2"/>
      </w:pPr>
      <w:r>
        <w:t xml:space="preserve">A.27 Ration rule versus forecast</w:t>
      </w:r>
    </w:p>
    <w:p>
      <w:r>
        <w:t xml:space="preserve">The per-person food and water rates are policy constants in a versioned rate table. Statistical uncertainty enters through future camp headcount; fitting a regressor to population multiplied by a fixed ration would only reproduce the rule and exaggerate evidence of predictive skill.</w:t>
      </w:r>
    </w:p>
    <w:p>
      <w:r>
        <w:t xml:space="preserve">Source: cloud-platform/prediction-models/src/lka_resource_predictor.py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