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p>
      <w:pPr>
        <w:pStyle w:val="Heading2"/>
      </w:pPr>
      <w:r>
        <w:t xml:space="preserve">A.8 Cyclic clock features</w:t>
      </w:r>
    </w:p>
    <w:p>
      <w:r>
        <w:t xml:space="preserve">Hour and day of week are encoded with sine and cosine pairs. This represents the wrap from the end of a day or week to its start without making neighboring times appear numerically far apart.</w:t>
      </w:r>
    </w:p>
    <w:p>
      <w:r>
        <w:t xml:space="preserve">Source: raspberry-platform/prediction-models/src/feature_extraction.py</w:t>
      </w:r>
    </w:p>
    <w:p>
      <w:pPr>
        <w:pStyle w:val="Heading2"/>
      </w:pPr>
      <w:r>
        <w:t xml:space="preserve">A.9 Broker reachability probe</w:t>
      </w:r>
    </w:p>
    <w:p>
      <w:r>
        <w:t xml:space="preserve">The monitor makes bounded TCP attempts to the configured MQTT broker and records both reachability and average connection time. It resolves the address once and applies a total probe deadline, preventing a failed broker from stalling a monitoring cycle indefinitely.</w:t>
      </w:r>
    </w:p>
    <w:p>
      <w:r>
        <w:t xml:space="preserve">Source: raspberry-platform/prediction-models/scripts/network_monitor_service.py</w:t>
      </w:r>
    </w:p>
    <w:p>
      <w:pPr>
        <w:pStyle w:val="Heading2"/>
      </w:pPr>
      <w:r>
        <w:t xml:space="preserve">A.10 Internet and broker paths</w:t>
      </w:r>
    </w:p>
    <w:p>
      <w:r>
        <w:t xml:space="preserve">The monitor also pings an internet target. If that path has little loss while the broker cannot be reached, it reports a possible broker-side fault; these two observations should not be treated as interchangeable evidence of uplink health.</w:t>
      </w:r>
    </w:p>
    <w:p>
      <w:r>
        <w:t xml:space="preserve">Source: raspberry-platform/prediction-models/scripts/network_monitor_service.py</w:t>
      </w:r>
    </w:p>
    <w:p>
      <w:pPr>
        <w:pStyle w:val="Heading2"/>
      </w:pPr>
      <w:r>
        <w:t xml:space="preserve">A.11 Live queue depth</w:t>
      </w:r>
    </w:p>
    <w:p>
      <w:r>
        <w:t xml:space="preserve">The monitor reads buffered_messages from the backend status endpoint and uses it as queue_depth. If that request fails it retains the previous depth, or starts at zero with no history; an operator should check status freshness before trusting a flat queue chart.</w:t>
      </w:r>
    </w:p>
    <w:p>
      <w:r>
        <w:t xml:space="preserve">Source: raspberry-platform/prediction-models/scripts/network_monitor_service.py</w:t>
      </w:r>
    </w:p>
    <w:p>
      <w:pPr>
        <w:pStyle w:val="Heading2"/>
      </w:pPr>
      <w:r>
        <w:t xml:space="preserve">A.12 Queue trend</w:t>
      </w:r>
    </w:p>
    <w:p>
      <w:r>
        <w:t xml:space="preserve">queue_delta is the current queue depth minus the preceding sample’s depth. A growing queue can reveal delivery pressure even when latency alone appears tolerable, while a shrinking queue can indicate that recovery flushing is catching up.</w:t>
      </w:r>
    </w:p>
    <w:p>
      <w:r>
        <w:t xml:space="preserve">Source: raspberry-platform/prediction-models/scripts/network_monitor_service.py</w:t>
      </w:r>
    </w:p>
    <w:p>
      <w:pPr>
        <w:pStyle w:val="Heading2"/>
      </w:pPr>
      <w:r>
        <w:t xml:space="preserve">A.13 Observed safety floor</w:t>
      </w:r>
    </w:p>
    <w:p>
      <w:r>
        <w:t xml:space="preserve">The monitor applies a direct observed-state floor after the model forecast. A known broker outage, at least 15 percent packet loss, at least 1000 ms average RTT, or a queue of at least 100 forces CRITICAL; the forecast cannot downgrade those observed hazards.</w:t>
      </w:r>
    </w:p>
    <w:p>
      <w:r>
        <w:t xml:space="preserve">Source: raspberry-platform/prediction-models/scripts/network_monitor_service.py</w:t>
      </w:r>
    </w:p>
    <w:p>
      <w:pPr>
        <w:pStyle w:val="Heading2"/>
      </w:pPr>
      <w:r>
        <w:t xml:space="preserve">A.14 Degraded safety signals</w:t>
      </w:r>
    </w:p>
    <w:p>
      <w:r>
        <w:t xml:space="preserve">The observed floor also marks DEGRADED for at least 5 percent loss, 300 ms average RTT, 30 ms jitter, 400 ms broker RTT, or a queue of at least 50. These limits are operational guards and should be reviewed with real camp-link measurements.</w:t>
      </w:r>
    </w:p>
    <w:p>
      <w:r>
        <w:t xml:space="preserve">Source: raspberry-platform/prediction-models/scripts/network_monitor_service.py</w:t>
      </w:r>
    </w:p>
    <w:p>
      <w:pPr>
        <w:pStyle w:val="Heading2"/>
      </w:pPr>
      <w:r>
        <w:t xml:space="preserve">A.15 Decision provenance</w:t>
      </w:r>
    </w:p>
    <w:p>
      <w:r>
        <w:t xml:space="preserve">predict_state returns the forecast state, observed state, and whether the final state came from the safety floor or the forecast. Recording that source makes it possible to distinguish an early model warning from a currently measured failure.</w:t>
      </w:r>
    </w:p>
    <w:p>
      <w:r>
        <w:t xml:space="preserve">Source: raspberry-platform/prediction-models/scripts/network_monitor_service.py</w:t>
      </w:r>
    </w:p>
    <w:p>
      <w:pPr>
        <w:pStyle w:val="Heading2"/>
      </w:pPr>
      <w:r>
        <w:t xml:space="preserve">A.16 Model artifact contract</w:t>
      </w:r>
    </w:p>
    <w:p>
      <w:r>
        <w:t xml:space="preserve">The monitor loads a classifier, scaler, and ordered feature list from the models directory, plus optional metadata containing thresholds and horizon. A deployment must keep those artifacts together: changing feature order or scaler without retraining would invalidate inference.</w:t>
      </w:r>
    </w:p>
    <w:p>
      <w:r>
        <w:t xml:space="preserve">Source: raspberry-platform/prediction-models/scripts/network_monitor_service.py</w:t>
      </w:r>
    </w:p>
    <w:p>
      <w:pPr>
        <w:pStyle w:val="Heading2"/>
      </w:pPr>
      <w:r>
        <w:t xml:space="preserve">A.17 Runtime threshold override</w:t>
      </w:r>
    </w:p>
    <w:p>
      <w:r>
        <w:t xml:space="preserve">NETWORK_T_CRITICAL and NETWORK_T_DEGRADED can override thresholds stored in model metadata. Operators can adjust the escalation tradeoff without retraining, but should record both values when comparing runs because the same model can produce different state decisions.</w:t>
      </w:r>
    </w:p>
    <w:p>
      <w:r>
        <w:t xml:space="preserve">Source: raspberry-platform/prediction-models/scripts/network_monitor_service.py</w:t>
      </w:r>
    </w:p>
    <w:p>
      <w:pPr>
        <w:pStyle w:val="Heading2"/>
      </w:pPr>
      <w:r>
        <w:t xml:space="preserve">A.18 Optional QoS model</w:t>
      </w:r>
    </w:p>
    <w:p>
      <w:r>
        <w:t xml:space="preserve">The monitor attempts to load a separate QoS model, scaler, and feature list; if absent, the policy remains optional and SAAMP’s rule table supplies the fallback. This separates the state forecast from per-priority publish decisions.</w:t>
      </w:r>
    </w:p>
    <w:p>
      <w:r>
        <w:t xml:space="preserve">Source: raspberry-platform/prediction-models/scripts/network_monitor_service.py</w:t>
      </w:r>
    </w:p>
    <w:p>
      <w:pPr>
        <w:pStyle w:val="Heading2"/>
      </w:pPr>
      <w:r>
        <w:t xml:space="preserve">A.19 QoS inference frequency</w:t>
      </w:r>
    </w:p>
    <w:p>
      <w:r>
        <w:t xml:space="preserve">When the optional QoS model is present, the monitor predicts one policy for each of the four priorities per cycle. This keeps Python inference outside the individual MQTT publish path and lets publishing continue if the monitor process stops.</w:t>
      </w:r>
    </w:p>
    <w:p>
      <w:r>
        <w:t xml:space="preserve">Source: raspberry-platform/prediction-models/scripts/network_monitor_service.py</w:t>
      </w:r>
    </w:p>
    <w:p>
      <w:pPr>
        <w:pStyle w:val="Heading2"/>
      </w:pPr>
      <w:r>
        <w:t xml:space="preserve">A.20 Backend state contract</w:t>
      </w:r>
    </w:p>
    <w:p>
      <w:r>
        <w:t xml:space="preserve">POST /api/network/state accepts the state, measurements, and an optional QoS policy. The backend’s status view exposes the effective state and diagnostics, while GET /api/network/stream publishes status changes as server-sent network events.</w:t>
      </w:r>
    </w:p>
    <w:p>
      <w:r>
        <w:t xml:space="preserve">Source: raspberry-platform/backend/routes/network/network.js</w:t>
      </w:r>
    </w:p>
    <w:p>
      <w:pPr>
        <w:pStyle w:val="Heading2"/>
      </w:pPr>
      <w:r>
        <w:t xml:space="preserve">A.21 Status history retention</w:t>
      </w:r>
    </w:p>
    <w:p>
      <w:r>
        <w:t xml:space="preserve">The network service retains at most 120 in-memory status samples for the operator view. This diagnostic history is distinct from the SQLite MQTT message buffer, so a process restart clears the trend even if operational messages still await delivery.</w:t>
      </w:r>
    </w:p>
    <w:p>
      <w:r>
        <w:t xml:space="preserve">Source: raspberry-platform/backend/services/network/network.js</w:t>
      </w:r>
    </w:p>
    <w:p>
      <w:pPr>
        <w:pStyle w:val="Heading2"/>
      </w:pPr>
      <w:r>
        <w:t xml:space="preserve">A.22 Buffer priority evidence</w:t>
      </w:r>
    </w:p>
    <w:p>
      <w:r>
        <w:t xml:space="preserve">The status response groups unflushed messages in CRITICAL, HIGH, MEDIUM, LOW order and reports each group’s count and oldest timestamp. This exposes whether urgent messages are waiting, instead of hiding that fact behind one total count.</w:t>
      </w:r>
    </w:p>
    <w:p>
      <w:r>
        <w:t xml:space="preserve">Source: raspberry-platform/backend/services/network/network.js</w:t>
      </w:r>
    </w:p>
    <w:p>
      <w:pPr>
        <w:pStyle w:val="Heading2"/>
      </w:pPr>
      <w:r>
        <w:t xml:space="preserve">A.23 Diagnostic payload privacy</w:t>
      </w:r>
    </w:p>
    <w:p>
      <w:r>
        <w:t xml:space="preserve">The browser-facing buffer message list includes identifiers, topics, priorities, QoS, and creation times but omits payloads. This still supports queue inspection without displaying registration names, ages, or medical notes that an MQTT payload may contain.</w:t>
      </w:r>
    </w:p>
    <w:p>
      <w:r>
        <w:t xml:space="preserve">Source: raspberry-platform/backend/services/network/network.js</w:t>
      </w:r>
    </w:p>
    <w:p>
      <w:pPr>
        <w:pStyle w:val="Heading2"/>
      </w:pPr>
      <w:r>
        <w:t xml:space="preserve">A.24 Publish path diagnostic</w:t>
      </w:r>
    </w:p>
    <w:p>
      <w:r>
        <w:t xml:space="preserve">The test-publish service maps each priority to a known source and action and sends a synthetic diagnostic message. It provides an end-to-end way to observe publish versus buffer behavior without waiting for a real registration or distribution event.</w:t>
      </w:r>
    </w:p>
    <w:p>
      <w:r>
        <w:t xml:space="preserve">Source: raspberry-platform/backend/services/network/network.js</w:t>
      </w:r>
    </w:p>
    <w:p>
      <w:pPr>
        <w:pStyle w:val="Heading2"/>
      </w:pPr>
      <w:r>
        <w:t xml:space="preserve">A.25 Network UI verification gap</w:t>
      </w:r>
    </w:p>
    <w:p>
      <w:r>
        <w:t xml:space="preserve">The current NetworkScreen source declares STATE_TONE and Card twice and references an undefined FALLBACK_POLL_MS. The intended status request and event subscription exist, but a frontend build and browser check are needed before treating the operator screen as working.</w:t>
      </w:r>
    </w:p>
    <w:p>
      <w:r>
        <w:t xml:space="preserve">Source: docs/network-monitoring-ui-review.md</w:t>
      </w:r>
    </w:p>
    <w:p>
      <w:pPr>
        <w:pStyle w:val="Heading2"/>
      </w:pPr>
      <w:r>
        <w:t xml:space="preserve">A.26 Sri Lankan resource scope</w:t>
      </w:r>
    </w:p>
    <w:p>
      <w:r>
        <w:t xml:space="preserve">The newer Sri Lankan resource predictor calculates food and drinking-water requirements only. Shelter and medical staffing are outside this module, so a resource plan should identify which product produced each quantity rather than combine unlike outputs under one generic model label.</w:t>
      </w:r>
    </w:p>
    <w:p>
      <w:r>
        <w:t xml:space="preserve">Source: cloud-platform/prediction-models/src/lka_resource_predictor.py</w:t>
      </w:r>
    </w:p>
    <w:p>
      <w:pPr>
        <w:pStyle w:val="Heading2"/>
      </w:pPr>
      <w:r>
        <w:t xml:space="preserve">A.27 Ration rule versus forecast</w:t>
      </w:r>
    </w:p>
    <w:p>
      <w:r>
        <w:t xml:space="preserve">The per-person food and water rates are policy constants in a versioned rate table. Statistical uncertainty enters through future camp headcount; fitting a regressor to population multiplied by a fixed ration would only reproduce the rule and exaggerate evidence of predictive skill.</w:t>
      </w:r>
    </w:p>
    <w:p>
      <w:r>
        <w:t xml:space="preserve">Source: cloud-platform/prediction-models/src/lka_resource_predictor.py</w:t>
      </w:r>
    </w:p>
    <w:p>
      <w:pPr>
        <w:pStyle w:val="Heading2"/>
      </w:pPr>
      <w:r>
        <w:t xml:space="preserve">A.28 Rate provenance</w:t>
      </w:r>
    </w:p>
    <w:p>
      <w:r>
        <w:t xml:space="preserve">The predictor reads ration_rates.json and each stored rate carries evidence metadata. A reported food or water total should be accompanied by the rate-table version and source, because a change in ration guidance alters the requirement even with an unchanged population forecast.</w:t>
      </w:r>
    </w:p>
    <w:p>
      <w:r>
        <w:t xml:space="preserve">Source: cloud-platform/prediction-models/src/lka_resource_predictor.py</w:t>
      </w:r>
    </w:p>
    <w:p>
      <w:pPr>
        <w:pStyle w:val="Heading2"/>
      </w:pPr>
      <w:r>
        <w:t xml:space="preserve">A.29 Demographic input precedence</w:t>
      </w:r>
    </w:p>
    <w:p>
      <w:r>
        <w:t xml:space="preserve">daily_requirement accepts either child and elderly counts or ratios; explicit counts take precedence. It clamps counts to the population and assigns everyone outside those cohorts to adults, so data quality in the camp roster directly affects the breakdown.</w:t>
      </w:r>
    </w:p>
    <w:p>
      <w:r>
        <w:t xml:space="preserve">Source: cloud-platform/prediction-models/src/lka_resource_predictor.py</w:t>
      </w:r>
    </w:p>
    <w:p>
      <w:pPr>
        <w:pStyle w:val="Heading2"/>
      </w:pPr>
      <w:r>
        <w:t xml:space="preserve">A.30 Pregnancy top-ups</w:t>
      </w:r>
    </w:p>
    <w:p>
      <w:r>
        <w:t xml:space="preserve">The ration rule adds food and drinking-water top-ups for the supplied pregnant count after base cohort requirements. The count is bounded by total population; it should be audited separately from age cohorts because it is an additional allowance, not a replacement cohort.</w:t>
      </w:r>
    </w:p>
    <w:p>
      <w:r>
        <w:t xml:space="preserve">Source: cloud-platform/prediction-models/src/lka_resource_predictor.py</w:t>
      </w:r>
    </w:p>
    <w:p>
      <w:pPr>
        <w:pStyle w:val="Heading2"/>
      </w:pPr>
      <w:r>
        <w:t xml:space="preserve">A.31 Older adult rate split</w:t>
      </w:r>
    </w:p>
    <w:p>
      <w:r>
        <w:t xml:space="preserve">When the roster provides a count aged 75 and over, the food calculation applies separate rates for ages 60–74 and 75+. Without that split it uses a blended older-adult rate, and the reported breakdown identifies what was assumed.</w:t>
      </w:r>
    </w:p>
    <w:p>
      <w:r>
        <w:t xml:space="preserve">Source: cloud-platform/prediction-models/src/lka_resource_predictor.py</w:t>
      </w:r>
    </w:p>
    <w:p>
      <w:pPr>
        <w:pStyle w:val="Heading2"/>
      </w:pPr>
      <w:r>
        <w:t xml:space="preserve">A.32 Child intake model usage</w:t>
      </w:r>
    </w:p>
    <w:p>
      <w:r>
        <w:t xml:space="preserve">If individual child records and the optional trained model are available, the predictor uses a cohort mean from those records. Without them it uses the child rate-table constant, and the response labels the basis so an operator can tell which path produced the estimate.</w:t>
      </w:r>
    </w:p>
    <w:p>
      <w:r>
        <w:t xml:space="preserve">Source: cloud-platform/prediction-models/src/lka_resource_predictor.py</w:t>
      </w:r>
    </w:p>
    <w:p>
      <w:pPr>
        <w:pStyle w:val="Heading2"/>
      </w:pPr>
      <w:r>
        <w:t xml:space="preserve">A.33 Child model artifact portability</w:t>
      </w:r>
    </w:p>
    <w:p>
      <w:r>
        <w:t xml:space="preserve">The child intake Ridge model is stored as JSON coefficients, intercept, feature order, and scaler values. Python and Node can therefore apply the same trained parameters without depending on a pickle loader in the backend.</w:t>
      </w:r>
    </w:p>
    <w:p>
      <w:r>
        <w:t xml:space="preserve">Source: cloud-platform/prediction-models/src/lka_intake_model.py</w:t>
      </w:r>
    </w:p>
    <w:p>
      <w:pPr>
        <w:pStyle w:val="Heading2"/>
      </w:pPr>
      <w:r>
        <w:t xml:space="preserve">A.34 Child input boundaries</w:t>
      </w:r>
    </w:p>
    <w:p>
      <w:r>
        <w:t xml:space="preserve">Child ages outside the training range are clamped and flagged as extrapolated. If province is unknown, the design row uses national marginal province dummy means rather than silently assigning the reference province.</w:t>
      </w:r>
    </w:p>
    <w:p>
      <w:r>
        <w:t xml:space="preserve">Source: cloud-platform/prediction-models/src/lka_intake_model.py</w:t>
      </w:r>
    </w:p>
    <w:p>
      <w:pPr>
        <w:pStyle w:val="Heading2"/>
      </w:pPr>
      <w:r>
        <w:t xml:space="preserve">A.35 Individual versus cohort error</w:t>
      </w:r>
    </w:p>
    <w:p>
      <w:r>
        <w:t xml:space="preserve">The child model’s artifact reports low per-person cross-validated R², around 0.07. The implementation frames its output as a camp-cohort estimate and exposes the number of children included and ages clamped; it should not be used as a precise personal ration.</w:t>
      </w:r>
    </w:p>
    <w:p>
      <w:r>
        <w:t xml:space="preserve">Source: cloud-platform/prediction-models/src/lka_intake_model.py</w:t>
      </w:r>
    </w:p>
    <w:p>
      <w:pPr>
        <w:pStyle w:val="Heading2"/>
      </w:pPr>
      <w:r>
        <w:t xml:space="preserve">A.36 Population history normalization</w:t>
      </w:r>
    </w:p>
    <w:p>
      <w:r>
        <w:t xml:space="preserve">The population forecaster sorts observations by date and retains one reading per calendar day, using the last reading for duplicates. Forecast inputs should therefore be inspected for missing dates and overwritten same-day counts before interpreting the trend.</w:t>
      </w:r>
    </w:p>
    <w:p>
      <w:r>
        <w:t xml:space="preserve">Source: cloud-platform/prediction-models/src/population_forecast.py</w:t>
      </w:r>
    </w:p>
    <w:p>
      <w:pPr>
        <w:pStyle w:val="Heading2"/>
      </w:pPr>
      <w:r>
        <w:t xml:space="preserve">A.37 Cold-start population plan</w:t>
      </w:r>
    </w:p>
    <w:p>
      <w:r>
        <w:t xml:space="preserve">With fewer than three observed days, the population method holds today’s headcount flat and labels confidence LOW. This is an explicit fallback, not a trend estimate; resulting food and water quantities are still computed from that held headcount.</w:t>
      </w:r>
    </w:p>
    <w:p>
      <w:r>
        <w:t xml:space="preserve">Source: cloud-platform/prediction-models/src/population_forecast.py</w:t>
      </w:r>
    </w:p>
    <w:p>
      <w:pPr>
        <w:pStyle w:val="Heading2"/>
      </w:pPr>
      <w:r>
        <w:t xml:space="preserve">A.38 Robust intake slope</w:t>
      </w:r>
    </w:p>
    <w:p>
      <w:r>
        <w:t xml:space="preserve">From three distinct days onward, the forecaster uses a Theil–Sen slope, the median of pairwise population changes over time. A large arrival burst has less influence on this estimate than it would on a least-squares line fitted through every day.</w:t>
      </w:r>
    </w:p>
    <w:p>
      <w:r>
        <w:t xml:space="preserve">Source: cloud-platform/prediction-models/src/population_forecast.py</w:t>
      </w:r>
    </w:p>
    <w:p>
      <w:pPr>
        <w:pStyle w:val="Heading2"/>
      </w:pPr>
      <w:r>
        <w:t xml:space="preserve">A.39 Recent trend window</w:t>
      </w:r>
    </w:p>
    <w:p>
      <w:r>
        <w:t xml:space="preserve">The default trend fit uses the last seven days when more history exists. This limits the effect of an early intake surge on a camp that is now stabilizing or emptying; the full observation count is still retained for confidence reporting.</w:t>
      </w:r>
    </w:p>
    <w:p>
      <w:r>
        <w:t xml:space="preserve">Source: cloud-platform/prediction-models/src/population_forecast.py</w:t>
      </w:r>
    </w:p>
    <w:p>
      <w:pPr>
        <w:pStyle w:val="Heading2"/>
      </w:pPr>
      <w:r>
        <w:t xml:space="preserve">A.40 Uncertainty band threshold</w:t>
      </w:r>
    </w:p>
    <w:p>
      <w:r>
        <w:t xml:space="preserve">A residual-based band is reported only when at least seven distinct days are observed. With three to six days the method returns a trend and MEDIUM confidence but no estimated spread, avoiding a false impression of quantified uncertainty from too little data.</w:t>
      </w:r>
    </w:p>
    <w:p>
      <w:r>
        <w:t xml:space="preserve">Source: cloud-platform/prediction-models/src/population_forecast.py</w:t>
      </w:r>
    </w:p>
    <w:p>
      <w:pPr>
        <w:pStyle w:val="Heading2"/>
      </w:pPr>
      <w:r>
        <w:t xml:space="preserve">A.41 Damped projection</w:t>
      </w:r>
    </w:p>
    <w:p>
      <w:r>
        <w:t xml:space="preserve">Each future day contributes a smaller share of the fitted slope under the default 0.8 damping factor. This allows projected intake to flatten rather than extending a short arrival ramp at full speed across the entire planning horizon.</w:t>
      </w:r>
    </w:p>
    <w:p>
      <w:r>
        <w:t xml:space="preserve">Source: cloud-platform/prediction-models/src/population_forecast.py</w:t>
      </w:r>
    </w:p>
    <w:p>
      <w:pPr>
        <w:pStyle w:val="Heading2"/>
      </w:pPr>
      <w:r>
        <w:t xml:space="preserve">A.42 Population growth cap</w:t>
      </w:r>
    </w:p>
    <w:p>
      <w:r>
        <w:t xml:space="preserve">Projected population cannot fall below zero, and positive projections are capped at three times the current headcount over the horizon. The returned note states when the cap applies; that guard limits implausible output but does not replace local operational judgment.</w:t>
      </w:r>
    </w:p>
    <w:p>
      <w:r>
        <w:t xml:space="preserve">Source: cloud-platform/prediction-models/src/population_forecast.py</w:t>
      </w:r>
    </w:p>
    <w:p>
      <w:pPr>
        <w:pStyle w:val="Heading2"/>
      </w:pPr>
      <w:r>
        <w:t xml:space="preserve">A.43 Forecast band expansion</w:t>
      </w:r>
    </w:p>
    <w:p>
      <w:r>
        <w:t xml:space="preserve">The residual half-width grows with forecast day offset and the lower band is never negative. Later dates therefore carry visibly wider uncertainty when enough history exists to estimate residual spread.</w:t>
      </w:r>
    </w:p>
    <w:p>
      <w:r>
        <w:t xml:space="preserve">Source: cloud-platform/prediction-models/src/population_forecast.py</w:t>
      </w:r>
    </w:p>
    <w:p>
      <w:pPr>
        <w:pStyle w:val="Heading2"/>
      </w:pPr>
      <w:r>
        <w:t xml:space="preserve">A.44 Seven-day requirement plan</w:t>
      </w:r>
    </w:p>
    <w:p>
      <w:r>
        <w:t xml:space="preserve">The resource forecast applies the daily ration rule to each projected population day, then sums food and water over the horizon. The returned population object includes the method, confidence, slope, and explanatory note, which should travel with any displayed supply total.</w:t>
      </w:r>
    </w:p>
    <w:p>
      <w:r>
        <w:t xml:space="preserve">Source: cloud-platform/prediction-models/src/lka_resource_predictor.py</w:t>
      </w:r>
    </w:p>
    <w:p>
      <w:pPr>
        <w:pStyle w:val="Heading2"/>
      </w:pPr>
      <w:r>
        <w:t xml:space="preserve">A.45 Stable composition assumption</w:t>
      </w:r>
    </w:p>
    <w:p>
      <w:r>
        <w:t xml:space="preserve">The multi-day resource plan keeps child and elderly ratios fixed across the horizon. This is a declared simplification: registration history supplies a population path, but the repository has no demonstrated model for how demographic composition will shift during the event.</w:t>
      </w:r>
    </w:p>
    <w:p>
      <w:r>
        <w:t xml:space="preserve">Source: cloud-platform/prediction-models/src/lka_resource_predictor.py</w:t>
      </w:r>
    </w:p>
    <w:p>
      <w:pPr>
        <w:pStyle w:val="Heading2"/>
      </w:pPr>
      <w:r>
        <w:t xml:space="preserve">A.46 Distribution rate endpoint</w:t>
      </w:r>
    </w:p>
    <w:p>
      <w:r>
        <w:t xml:space="preserve">The cloud resource routes expose distribution/rates alongside today’s requirement and the multi-day plan. The rates response gives operators a way to check the table and provenance underlying food and drinking-water calculations before ordering supplies.</w:t>
      </w:r>
    </w:p>
    <w:p>
      <w:r>
        <w:t xml:space="preserve">Source: cloud-platform/backend/src/routers/resources.routes.js</w:t>
      </w:r>
    </w:p>
    <w:p>
      <w:pPr>
        <w:pStyle w:val="Heading2"/>
      </w:pPr>
      <w:r>
        <w:t xml:space="preserve">A.47 Planning horizon bounds</w:t>
      </w:r>
    </w:p>
    <w:p>
      <w:r>
        <w:t xml:space="preserve">The distribution panel requests a seven-day plan; the backend controller constrains accepted plan horizons to one through thirty days. A dashboard should show the requested horizon explicitly so a weekly total is not mistaken for a daily requirement.</w:t>
      </w:r>
    </w:p>
    <w:p>
      <w:r>
        <w:t xml:space="preserve">Source: docs/resource-dashboard-data-flow.md</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