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p>
      <w:pPr>
        <w:pStyle w:val="Heading2"/>
      </w:pPr>
      <w:r>
        <w:t xml:space="preserve">A.20 Backend state contract</w:t>
      </w:r>
    </w:p>
    <w:p>
      <w:r>
        <w:t xml:space="preserve">POST /api/network/state accepts the state, measurements, and an optional QoS policy. The backend’s status view exposes the effective state and diagnostics, while GET /api/network/stream publishes status changes as server-sent network events.</w:t>
      </w:r>
    </w:p>
    <w:p>
      <w:r>
        <w:t xml:space="preserve">Source: raspberry-platform/backend/routes/network/network.js</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