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p>
      <w:pPr>
        <w:pStyle w:val="Heading1"/>
      </w:pPr>
      <w:r>
        <w:t xml:space="preserve">Appendix A. Runtime model and operator review</w:t>
      </w:r>
    </w:p>
    <w:p>
      <w:r>
        <w:t xml:space="preserve">These source-traced notes extend the report with current runtime behavior. They describe implementation and validation questions, not completed field tests.</w:t>
      </w:r>
    </w:p>
    <w:p>
      <w:pPr>
        <w:pStyle w:val="Heading2"/>
      </w:pPr>
      <w:r>
        <w:t xml:space="preserve">A.1 Network forecast target</w:t>
      </w:r>
    </w:p>
    <w:p>
      <w:r>
        <w:t xml:space="preserve">The state classifier is trained on future_network_state, the worst condition in the following horizon, rather than the label of the current sample. This makes escalation lead time the intended outcome; a persistence baseline answers how much value the classifier adds beyond simply carrying today’s state forward.</w:t>
      </w:r>
    </w:p>
    <w:p>
      <w:r>
        <w:t xml:space="preserve">Source: raspberry-platform/prediction-models/src/network_predictor.py</w:t>
      </w:r>
    </w:p>
    <w:p>
      <w:pPr>
        <w:pStyle w:val="Heading2"/>
      </w:pPr>
      <w:r>
        <w:t xml:space="preserve">A.2 Chronological evaluation</w:t>
      </w:r>
    </w:p>
    <w:p>
      <w:r>
        <w:t xml:space="preserve">The network trainer reserves the last 20 percent of feature rows for testing and fits the scaler only on training rows. This ordering matters because adjacent network samples share conditions; a shuffled split would let nearly identical periods appear on both sides of the evaluation.</w:t>
      </w:r>
    </w:p>
    <w:p>
      <w:r>
        <w:t xml:space="preserve">Source: raspberry-platform/prediction-models/src/network_predictor.py</w:t>
      </w:r>
    </w:p>
    <w:p>
      <w:pPr>
        <w:pStyle w:val="Heading2"/>
      </w:pPr>
      <w:r>
        <w:t xml:space="preserve">A.3 Escalation recall</w:t>
      </w:r>
    </w:p>
    <w:p>
      <w:r>
        <w:t xml:space="preserve">Evaluation counts an escalation when the future state is more severe than the present state, then measures how often the prediction raises severity in advance. Persistence has zero recall by construction on these events, even if its overall accuracy is high during long stable periods.</w:t>
      </w:r>
    </w:p>
    <w:p>
      <w:r>
        <w:t xml:space="preserve">Source: raspberry-platform/prediction-models/src/network_predictor.py</w:t>
      </w:r>
    </w:p>
    <w:p>
      <w:pPr>
        <w:pStyle w:val="Heading2"/>
      </w:pPr>
      <w:r>
        <w:t xml:space="preserve">A.4 False alarm budget</w:t>
      </w:r>
    </w:p>
    <w:p>
      <w:r>
        <w:t xml:space="preserve">Threshold selection sweeps candidate probabilities and prefers the highest escalation recall within a configurable false alarm budget. The default budget is 0.15, so an operating point must be assessed for both missed deterioration and avoidable buffering.</w:t>
      </w:r>
    </w:p>
    <w:p>
      <w:r>
        <w:t xml:space="preserve">Source: raspberry-platform/prediction-models/src/network_predictor.py</w:t>
      </w:r>
    </w:p>
    <w:p>
      <w:pPr>
        <w:pStyle w:val="Heading2"/>
      </w:pPr>
      <w:r>
        <w:t xml:space="preserve">A.5 Class probability decision</w:t>
      </w:r>
    </w:p>
    <w:p>
      <w:r>
        <w:t xml:space="preserve">The runtime decision checks CRITICAL probability first, then the combined probability of CRITICAL and DEGRADED. Those thresholds can choose a protective state before it becomes the most likely single class, which is why raw argmax accuracy is not the only operational measure.</w:t>
      </w:r>
    </w:p>
    <w:p>
      <w:r>
        <w:t xml:space="preserve">Source: raspberry-platform/prediction-models/src/network_predictor.py</w:t>
      </w:r>
    </w:p>
    <w:p>
      <w:pPr>
        <w:pStyle w:val="Heading2"/>
      </w:pPr>
      <w:r>
        <w:t xml:space="preserve">A.6 History window</w:t>
      </w:r>
    </w:p>
    <w:p>
      <w:r>
        <w:t xml:space="preserve">Feature engineering uses five chronologically ordered samples for rolling means, slopes, latency variation, and broker uptime. At the monitor’s default 30 second interval this window summarizes roughly two and a half minutes; changing the cadence changes the time represented by the same five rows.</w:t>
      </w:r>
    </w:p>
    <w:p>
      <w:r>
        <w:t xml:space="preserve">Source: raspberry-platform/prediction-models/src/feature_extraction.py</w:t>
      </w:r>
    </w:p>
    <w:p>
      <w:pPr>
        <w:pStyle w:val="Heading2"/>
      </w:pPr>
      <w:r>
        <w:t xml:space="preserve">A.7 Measured state features</w:t>
      </w:r>
    </w:p>
    <w:p>
      <w:r>
        <w:t xml:space="preserve">The state feature list contains ping latency and loss, jitter, broker round trip time and reachability, queue depth, and queue change. Values such as derived bandwidth and synthetic client counts are absent from this state feature list because they do not provide independent observations in production.</w:t>
      </w:r>
    </w:p>
    <w:p>
      <w:r>
        <w:t xml:space="preserve">Source: raspberry-platform/prediction-models/src/feature_extraction.py</w:t>
      </w:r>
    </w:p>
    <w:p>
      <w:pPr>
        <w:pStyle w:val="Heading2"/>
      </w:pPr>
      <w:r>
        <w:t xml:space="preserve">A.8 Cyclic clock features</w:t>
      </w:r>
    </w:p>
    <w:p>
      <w:r>
        <w:t xml:space="preserve">Hour and day of week are encoded with sine and cosine pairs. This represents the wrap from the end of a day or week to its start without making neighboring times appear numerically far apart.</w:t>
      </w:r>
    </w:p>
    <w:p>
      <w:r>
        <w:t xml:space="preserve">Source: raspberry-platform/prediction-models/src/feature_extraction.py</w:t>
      </w:r>
    </w:p>
    <w:p>
      <w:pPr>
        <w:pStyle w:val="Heading2"/>
      </w:pPr>
      <w:r>
        <w:t xml:space="preserve">A.9 Broker reachability probe</w:t>
      </w:r>
    </w:p>
    <w:p>
      <w:r>
        <w:t xml:space="preserve">The monitor makes bounded TCP attempts to the configured MQTT broker and records both reachability and average connection time. It resolves the address once and applies a total probe deadline, preventing a failed broker from stalling a monitoring cycle indefinitely.</w:t>
      </w:r>
    </w:p>
    <w:p>
      <w:r>
        <w:t xml:space="preserve">Source: raspberry-platform/prediction-models/scripts/network_monitor_service.py</w:t>
      </w:r>
    </w:p>
    <w:p>
      <w:pPr>
        <w:pStyle w:val="Heading2"/>
      </w:pPr>
      <w:r>
        <w:t xml:space="preserve">A.10 Internet and broker paths</w:t>
      </w:r>
    </w:p>
    <w:p>
      <w:r>
        <w:t xml:space="preserve">The monitor also pings an internet target. If that path has little loss while the broker cannot be reached, it reports a possible broker-side fault; these two observations should not be treated as interchangeable evidence of uplink health.</w:t>
      </w:r>
    </w:p>
    <w:p>
      <w:r>
        <w:t xml:space="preserve">Source: raspberry-platform/prediction-models/scripts/network_monitor_service.py</w:t>
      </w:r>
    </w:p>
    <w:p>
      <w:pPr>
        <w:pStyle w:val="Heading2"/>
      </w:pPr>
      <w:r>
        <w:t xml:space="preserve">A.11 Live queue depth</w:t>
      </w:r>
    </w:p>
    <w:p>
      <w:r>
        <w:t xml:space="preserve">The monitor reads buffered_messages from the backend status endpoint and uses it as queue_depth. If that request fails it retains the previous depth, or starts at zero with no history; an operator should check status freshness before trusting a flat queue chart.</w:t>
      </w:r>
    </w:p>
    <w:p>
      <w:r>
        <w:t xml:space="preserve">Source: raspberry-platform/prediction-models/scripts/network_monitor_service.py</w:t>
      </w:r>
    </w:p>
    <w:p>
      <w:pPr>
        <w:pStyle w:val="Heading2"/>
      </w:pPr>
      <w:r>
        <w:t xml:space="preserve">A.12 Queue trend</w:t>
      </w:r>
    </w:p>
    <w:p>
      <w:r>
        <w:t xml:space="preserve">queue_delta is the current queue depth minus the preceding sample’s depth. A growing queue can reveal delivery pressure even when latency alone appears tolerable, while a shrinking queue can indicate that recovery flushing is catching up.</w:t>
      </w:r>
    </w:p>
    <w:p>
      <w:r>
        <w:t xml:space="preserve">Source: raspberry-platform/prediction-models/scripts/network_monitor_service.py</w:t>
      </w:r>
    </w:p>
    <w:p>
      <w:pPr>
        <w:pStyle w:val="Heading2"/>
      </w:pPr>
      <w:r>
        <w:t xml:space="preserve">A.13 Observed safety floor</w:t>
      </w:r>
    </w:p>
    <w:p>
      <w:r>
        <w:t xml:space="preserve">The monitor applies a direct observed-state floor after the model forecast. A known broker outage, at least 15 percent packet loss, at least 1000 ms average RTT, or a queue of at least 100 forces CRITICAL; the forecast cannot downgrade those observed hazards.</w:t>
      </w:r>
    </w:p>
    <w:p>
      <w:r>
        <w:t xml:space="preserve">Source: raspberry-platform/prediction-models/scripts/network_monitor_service.py</w:t>
      </w:r>
    </w:p>
    <w:p>
      <w:pPr>
        <w:pStyle w:val="Heading2"/>
      </w:pPr>
      <w:r>
        <w:t xml:space="preserve">A.14 Degraded safety signals</w:t>
      </w:r>
    </w:p>
    <w:p>
      <w:r>
        <w:t xml:space="preserve">The observed floor also marks DEGRADED for at least 5 percent loss, 300 ms average RTT, 30 ms jitter, 400 ms broker RTT, or a queue of at least 50. These limits are operational guards and should be reviewed with real camp-link measurements.</w:t>
      </w:r>
    </w:p>
    <w:p>
      <w:r>
        <w:t xml:space="preserve">Source: raspberry-platform/prediction-models/scripts/network_monitor_service.py</w:t>
      </w:r>
    </w:p>
    <w:p>
      <w:pPr>
        <w:pStyle w:val="Heading2"/>
      </w:pPr>
      <w:r>
        <w:t xml:space="preserve">A.15 Decision provenance</w:t>
      </w:r>
    </w:p>
    <w:p>
      <w:r>
        <w:t xml:space="preserve">predict_state returns the forecast state, observed state, and whether the final state came from the safety floor or the forecast. Recording that source makes it possible to distinguish an early model warning from a currently measured failure.</w:t>
      </w:r>
    </w:p>
    <w:p>
      <w:r>
        <w:t xml:space="preserve">Source: raspberry-platform/prediction-models/scripts/network_monitor_service.py</w:t>
      </w:r>
    </w:p>
    <w:p>
      <w:pPr>
        <w:pStyle w:val="Heading2"/>
      </w:pPr>
      <w:r>
        <w:t xml:space="preserve">A.16 Model artifact contract</w:t>
      </w:r>
    </w:p>
    <w:p>
      <w:r>
        <w:t xml:space="preserve">The monitor loads a classifier, scaler, and ordered feature list from the models directory, plus optional metadata containing thresholds and horizon. A deployment must keep those artifacts together: changing feature order or scaler without retraining would invalidate inference.</w:t>
      </w:r>
    </w:p>
    <w:p>
      <w:r>
        <w:t xml:space="preserve">Source: raspberry-platform/prediction-models/scripts/network_monitor_service.py</w:t>
      </w:r>
    </w:p>
    <w:p>
      <w:pPr>
        <w:pStyle w:val="Heading2"/>
      </w:pPr>
      <w:r>
        <w:t xml:space="preserve">A.17 Runtime threshold override</w:t>
      </w:r>
    </w:p>
    <w:p>
      <w:r>
        <w:t xml:space="preserve">NETWORK_T_CRITICAL and NETWORK_T_DEGRADED can override thresholds stored in model metadata. Operators can adjust the escalation tradeoff without retraining, but should record both values when comparing runs because the same model can produce different state decisions.</w:t>
      </w:r>
    </w:p>
    <w:p>
      <w:r>
        <w:t xml:space="preserve">Source: raspberry-platform/prediction-models/scripts/network_monitor_service.py</w:t>
      </w:r>
    </w:p>
    <w:p>
      <w:pPr>
        <w:pStyle w:val="Heading2"/>
      </w:pPr>
      <w:r>
        <w:t xml:space="preserve">A.18 Optional QoS model</w:t>
      </w:r>
    </w:p>
    <w:p>
      <w:r>
        <w:t xml:space="preserve">The monitor attempts to load a separate QoS model, scaler, and feature list; if absent, the policy remains optional and SAAMP’s rule table supplies the fallback. This separates the state forecast from per-priority publish decisions.</w:t>
      </w:r>
    </w:p>
    <w:p>
      <w:r>
        <w:t xml:space="preserve">Source: raspberry-platform/prediction-models/scripts/network_monitor_service.py</w:t>
      </w:r>
    </w:p>
    <w:p>
      <w:pPr>
        <w:pStyle w:val="Heading2"/>
      </w:pPr>
      <w:r>
        <w:t xml:space="preserve">A.19 QoS inference frequency</w:t>
      </w:r>
    </w:p>
    <w:p>
      <w:r>
        <w:t xml:space="preserve">When the optional QoS model is present, the monitor predicts one policy for each of the four priorities per cycle. This keeps Python inference outside the individual MQTT publish path and lets publishing continue if the monitor process stops.</w:t>
      </w:r>
    </w:p>
    <w:p>
      <w:r>
        <w:t xml:space="preserve">Source: raspberry-platform/prediction-models/scripts/network_monitor_service.py</w:t>
      </w:r>
    </w:p>
    <w:p>
      <w:pPr>
        <w:pStyle w:val="Heading2"/>
      </w:pPr>
      <w:r>
        <w:t xml:space="preserve">A.20 Backend state contract</w:t>
      </w:r>
    </w:p>
    <w:p>
      <w:r>
        <w:t xml:space="preserve">POST /api/network/state accepts the state, measurements, and an optional QoS policy. The backend’s status view exposes the effective state and diagnostics, while GET /api/network/stream publishes status changes as server-sent network events.</w:t>
      </w:r>
    </w:p>
    <w:p>
      <w:r>
        <w:t xml:space="preserve">Source: raspberry-platform/backend/routes/network/network.js</w:t>
      </w:r>
    </w:p>
    <w:p>
      <w:pPr>
        <w:pStyle w:val="Heading2"/>
      </w:pPr>
      <w:r>
        <w:t xml:space="preserve">A.21 Status history retention</w:t>
      </w:r>
    </w:p>
    <w:p>
      <w:r>
        <w:t xml:space="preserve">The network service retains at most 120 in-memory status samples for the operator view. This diagnostic history is distinct from the SQLite MQTT message buffer, so a process restart clears the trend even if operational messages still await delivery.</w:t>
      </w:r>
    </w:p>
    <w:p>
      <w:r>
        <w:t xml:space="preserve">Source: raspberry-platform/backend/services/network/network.js</w:t>
      </w:r>
    </w:p>
    <w:p>
      <w:pPr>
        <w:pStyle w:val="Heading2"/>
      </w:pPr>
      <w:r>
        <w:t xml:space="preserve">A.22 Buffer priority evidence</w:t>
      </w:r>
    </w:p>
    <w:p>
      <w:r>
        <w:t xml:space="preserve">The status response groups unflushed messages in CRITICAL, HIGH, MEDIUM, LOW order and reports each group’s count and oldest timestamp. This exposes whether urgent messages are waiting, instead of hiding that fact behind one total count.</w:t>
      </w:r>
    </w:p>
    <w:p>
      <w:r>
        <w:t xml:space="preserve">Source: raspberry-platform/backend/services/network/network.js</w:t>
      </w:r>
    </w:p>
    <w:p>
      <w:pPr>
        <w:pStyle w:val="Heading2"/>
      </w:pPr>
      <w:r>
        <w:t xml:space="preserve">A.23 Diagnostic payload privacy</w:t>
      </w:r>
    </w:p>
    <w:p>
      <w:r>
        <w:t xml:space="preserve">The browser-facing buffer message list includes identifiers, topics, priorities, QoS, and creation times but omits payloads. This still supports queue inspection without displaying registration names, ages, or medical notes that an MQTT payload may contain.</w:t>
      </w:r>
    </w:p>
    <w:p>
      <w:r>
        <w:t xml:space="preserve">Source: raspberry-platform/backend/services/network/network.js</w:t>
      </w:r>
    </w:p>
    <w:p>
      <w:pPr>
        <w:pStyle w:val="Heading2"/>
      </w:pPr>
      <w:r>
        <w:t xml:space="preserve">A.24 Publish path diagnostic</w:t>
      </w:r>
    </w:p>
    <w:p>
      <w:r>
        <w:t xml:space="preserve">The test-publish service maps each priority to a known source and action and sends a synthetic diagnostic message. It provides an end-to-end way to observe publish versus buffer behavior without waiting for a real registration or distribution event.</w:t>
      </w:r>
    </w:p>
    <w:p>
      <w:r>
        <w:t xml:space="preserve">Source: raspberry-platform/backend/services/network/network.js</w:t>
      </w:r>
    </w:p>
    <w:p>
      <w:pPr>
        <w:pStyle w:val="Heading2"/>
      </w:pPr>
      <w:r>
        <w:t xml:space="preserve">A.25 Network UI verification gap</w:t>
      </w:r>
    </w:p>
    <w:p>
      <w:r>
        <w:t xml:space="preserve">The current NetworkScreen source declares STATE_TONE and Card twice and references an undefined FALLBACK_POLL_MS. The intended status request and event subscription exist, but a frontend build and browser check are needed before treating the operator screen as working.</w:t>
      </w:r>
    </w:p>
    <w:p>
      <w:r>
        <w:t xml:space="preserve">Source: docs/network-monitoring-ui-review.md</w:t>
      </w:r>
    </w:p>
    <w:p>
      <w:pPr>
        <w:pStyle w:val="Heading2"/>
      </w:pPr>
      <w:r>
        <w:t xml:space="preserve">A.26 Sri Lankan resource scope</w:t>
      </w:r>
    </w:p>
    <w:p>
      <w:r>
        <w:t xml:space="preserve">The newer Sri Lankan resource predictor calculates food and drinking-water requirements only. Shelter and medical staffing are outside this module, so a resource plan should identify which product produced each quantity rather than combine unlike outputs under one generic model label.</w:t>
      </w:r>
    </w:p>
    <w:p>
      <w:r>
        <w:t xml:space="preserve">Source: cloud-platform/prediction-models/src/lka_resource_predictor.py</w:t>
      </w:r>
    </w:p>
    <w:p>
      <w:pPr>
        <w:pStyle w:val="Heading2"/>
      </w:pPr>
      <w:r>
        <w:t xml:space="preserve">A.27 Ration rule versus forecast</w:t>
      </w:r>
    </w:p>
    <w:p>
      <w:r>
        <w:t xml:space="preserve">The per-person food and water rates are policy constants in a versioned rate table. Statistical uncertainty enters through future camp headcount; fitting a regressor to population multiplied by a fixed ration would only reproduce the rule and exaggerate evidence of predictive skill.</w:t>
      </w:r>
    </w:p>
    <w:p>
      <w:r>
        <w:t xml:space="preserve">Source: cloud-platform/prediction-models/src/lka_resource_predictor.py</w:t>
      </w:r>
    </w:p>
    <w:p>
      <w:pPr>
        <w:pStyle w:val="Heading2"/>
      </w:pPr>
      <w:r>
        <w:t xml:space="preserve">A.28 Rate provenance</w:t>
      </w:r>
    </w:p>
    <w:p>
      <w:r>
        <w:t xml:space="preserve">The predictor reads ration_rates.json and each stored rate carries evidence metadata. A reported food or water total should be accompanied by the rate-table version and source, because a change in ration guidance alters the requirement even with an unchanged population forecast.</w:t>
      </w:r>
    </w:p>
    <w:p>
      <w:r>
        <w:t xml:space="preserve">Source: cloud-platform/prediction-models/src/lka_resource_predictor.py</w:t>
      </w:r>
    </w:p>
    <w:p>
      <w:pPr>
        <w:pStyle w:val="Heading2"/>
      </w:pPr>
      <w:r>
        <w:t xml:space="preserve">A.29 Demographic input precedence</w:t>
      </w:r>
    </w:p>
    <w:p>
      <w:r>
        <w:t xml:space="preserve">daily_requirement accepts either child and elderly counts or ratios; explicit counts take precedence. It clamps counts to the population and assigns everyone outside those cohorts to adults, so data quality in the camp roster directly affects the breakdown.</w:t>
      </w:r>
    </w:p>
    <w:p>
      <w:r>
        <w:t xml:space="preserve">Source: cloud-platform/prediction-models/src/lka_resource_predictor.py</w:t>
      </w:r>
    </w:p>
    <w:p>
      <w:pPr>
        <w:pStyle w:val="Heading2"/>
      </w:pPr>
      <w:r>
        <w:t xml:space="preserve">A.30 Pregnancy top-ups</w:t>
      </w:r>
    </w:p>
    <w:p>
      <w:r>
        <w:t xml:space="preserve">The ration rule adds food and drinking-water top-ups for the supplied pregnant count after base cohort requirements. The count is bounded by total population; it should be audited separately from age cohorts because it is an additional allowance, not a replacement cohort.</w:t>
      </w:r>
    </w:p>
    <w:p>
      <w:r>
        <w:t xml:space="preserve">Source: cloud-platform/prediction-models/src/lka_resource_predictor.py</w:t>
      </w:r>
    </w:p>
    <w:p>
      <w:pPr>
        <w:pStyle w:val="Heading2"/>
      </w:pPr>
      <w:r>
        <w:t xml:space="preserve">A.31 Older adult rate split</w:t>
      </w:r>
    </w:p>
    <w:p>
      <w:r>
        <w:t xml:space="preserve">When the roster provides a count aged 75 and over, the food calculation applies separate rates for ages 60–74 and 75+. Without that split it uses a blended older-adult rate, and the reported breakdown identifies what was assumed.</w:t>
      </w:r>
    </w:p>
    <w:p>
      <w:r>
        <w:t xml:space="preserve">Source: cloud-platform/prediction-models/src/lka_resource_predictor.py</w:t>
      </w:r>
    </w:p>
    <w:p>
      <w:pPr>
        <w:pStyle w:val="Heading2"/>
      </w:pPr>
      <w:r>
        <w:t xml:space="preserve">A.32 Child intake model usage</w:t>
      </w:r>
    </w:p>
    <w:p>
      <w:r>
        <w:t xml:space="preserve">If individual child records and the optional trained model are available, the predictor uses a cohort mean from those records. Without them it uses the child rate-table constant, and the response labels the basis so an operator can tell which path produced the estimate.</w:t>
      </w:r>
    </w:p>
    <w:p>
      <w:r>
        <w:t xml:space="preserve">Source: cloud-platform/prediction-models/src/lka_resource_predictor.py</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