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p>
      <w:pPr>
        <w:pStyle w:val="Heading2"/>
      </w:pPr>
      <w:r>
        <w:t xml:space="preserve">A.31 Older adult rate split</w:t>
      </w:r>
    </w:p>
    <w:p>
      <w:r>
        <w:t xml:space="preserve">When the roster provides a count aged 75 and over, the food calculation applies separate rates for ages 60–74 and 75+. Without that split it uses a blended older-adult rate, and the reported breakdown identifies what was assumed.</w:t>
      </w:r>
    </w:p>
    <w:p>
      <w:r>
        <w:t xml:space="preserve">Source: cloud-platform/prediction-models/src/lka_resource_predictor.py</w:t>
      </w:r>
    </w:p>
    <w:p>
      <w:pPr>
        <w:pStyle w:val="Heading2"/>
      </w:pPr>
      <w:r>
        <w:t xml:space="preserve">A.32 Child intake model usage</w:t>
      </w:r>
    </w:p>
    <w:p>
      <w:r>
        <w:t xml:space="preserve">If individual child records and the optional trained model are available, the predictor uses a cohort mean from those records. Without them it uses the child rate-table constant, and the response labels the basis so an operator can tell which path produced the estimate.</w:t>
      </w:r>
    </w:p>
    <w:p>
      <w:r>
        <w:t xml:space="preserve">Source: cloud-platform/prediction-models/src/lka_resource_predictor.py</w:t>
      </w:r>
    </w:p>
    <w:p>
      <w:pPr>
        <w:pStyle w:val="Heading2"/>
      </w:pPr>
      <w:r>
        <w:t xml:space="preserve">A.33 Child model artifact portability</w:t>
      </w:r>
    </w:p>
    <w:p>
      <w:r>
        <w:t xml:space="preserve">The child intake Ridge model is stored as JSON coefficients, intercept, feature order, and scaler values. Python and Node can therefore apply the same trained parameters without depending on a pickle loader in the backend.</w:t>
      </w:r>
    </w:p>
    <w:p>
      <w:r>
        <w:t xml:space="preserve">Source: cloud-platform/prediction-models/src/lka_intake_model.py</w:t>
      </w:r>
    </w:p>
    <w:p>
      <w:pPr>
        <w:pStyle w:val="Heading2"/>
      </w:pPr>
      <w:r>
        <w:t xml:space="preserve">A.34 Child input boundaries</w:t>
      </w:r>
    </w:p>
    <w:p>
      <w:r>
        <w:t xml:space="preserve">Child ages outside the training range are clamped and flagged as extrapolated. If province is unknown, the design row uses national marginal province dummy means rather than silently assigning the reference province.</w:t>
      </w:r>
    </w:p>
    <w:p>
      <w:r>
        <w:t xml:space="preserve">Source: cloud-platform/prediction-models/src/lka_intake_model.py</w:t>
      </w:r>
    </w:p>
    <w:p>
      <w:pPr>
        <w:pStyle w:val="Heading2"/>
      </w:pPr>
      <w:r>
        <w:t xml:space="preserve">A.35 Individual versus cohort error</w:t>
      </w:r>
    </w:p>
    <w:p>
      <w:r>
        <w:t xml:space="preserve">The child model’s artifact reports low per-person cross-validated R², around 0.07. The implementation frames its output as a camp-cohort estimate and exposes the number of children included and ages clamped; it should not be used as a precise personal ration.</w:t>
      </w:r>
    </w:p>
    <w:p>
      <w:r>
        <w:t xml:space="preserve">Source: cloud-platform/prediction-models/src/lka_intake_model.py</w:t>
      </w:r>
    </w:p>
    <w:p>
      <w:pPr>
        <w:pStyle w:val="Heading2"/>
      </w:pPr>
      <w:r>
        <w:t xml:space="preserve">A.36 Population history normalization</w:t>
      </w:r>
    </w:p>
    <w:p>
      <w:r>
        <w:t xml:space="preserve">The population forecaster sorts observations by date and retains one reading per calendar day, using the last reading for duplicates. Forecast inputs should therefore be inspected for missing dates and overwritten same-day counts before interpreting the trend.</w:t>
      </w:r>
    </w:p>
    <w:p>
      <w:r>
        <w:t xml:space="preserve">Source: cloud-platform/prediction-models/src/population_forecast.py</w:t>
      </w:r>
    </w:p>
    <w:p>
      <w:pPr>
        <w:pStyle w:val="Heading2"/>
      </w:pPr>
      <w:r>
        <w:t xml:space="preserve">A.37 Cold-start population plan</w:t>
      </w:r>
    </w:p>
    <w:p>
      <w:r>
        <w:t xml:space="preserve">With fewer than three observed days, the population method holds today’s headcount flat and labels confidence LOW. This is an explicit fallback, not a trend estimate; resulting food and water quantities are still computed from that held headcount.</w:t>
      </w:r>
    </w:p>
    <w:p>
      <w:r>
        <w:t xml:space="preserve">Source: cloud-platform/prediction-models/src/population_forecast.py</w:t>
      </w:r>
    </w:p>
    <w:p>
      <w:pPr>
        <w:pStyle w:val="Heading2"/>
      </w:pPr>
      <w:r>
        <w:t xml:space="preserve">A.38 Robust intake slope</w:t>
      </w:r>
    </w:p>
    <w:p>
      <w:r>
        <w:t xml:space="preserve">From three distinct days onward, the forecaster uses a Theil–Sen slope, the median of pairwise population changes over time. A large arrival burst has less influence on this estimate than it would on a least-squares line fitted through every day.</w:t>
      </w:r>
    </w:p>
    <w:p>
      <w:r>
        <w:t xml:space="preserve">Source: cloud-platform/prediction-models/src/population_forecast.py</w:t>
      </w:r>
    </w:p>
    <w:p>
      <w:pPr>
        <w:pStyle w:val="Heading2"/>
      </w:pPr>
      <w:r>
        <w:t xml:space="preserve">A.39 Recent trend window</w:t>
      </w:r>
    </w:p>
    <w:p>
      <w:r>
        <w:t xml:space="preserve">The default trend fit uses the last seven days when more history exists. This limits the effect of an early intake surge on a camp that is now stabilizing or emptying; the full observation count is still retained for confidence reporting.</w:t>
      </w:r>
    </w:p>
    <w:p>
      <w:r>
        <w:t xml:space="preserve">Source: cloud-platform/prediction-models/src/population_forecast.py</w:t>
      </w:r>
    </w:p>
    <w:p>
      <w:pPr>
        <w:pStyle w:val="Heading2"/>
      </w:pPr>
      <w:r>
        <w:t xml:space="preserve">A.40 Uncertainty band threshold</w:t>
      </w:r>
    </w:p>
    <w:p>
      <w:r>
        <w:t xml:space="preserve">A residual-based band is reported only when at least seven distinct days are observed. With three to six days the method returns a trend and MEDIUM confidence but no estimated spread, avoiding a false impression of quantified uncertainty from too little data.</w:t>
      </w:r>
    </w:p>
    <w:p>
      <w:r>
        <w:t xml:space="preserve">Source: cloud-platform/prediction-models/src/population_forecast.py</w:t>
      </w:r>
    </w:p>
    <w:p>
      <w:pPr>
        <w:pStyle w:val="Heading2"/>
      </w:pPr>
      <w:r>
        <w:t xml:space="preserve">A.41 Damped projection</w:t>
      </w:r>
    </w:p>
    <w:p>
      <w:r>
        <w:t xml:space="preserve">Each future day contributes a smaller share of the fitted slope under the default 0.8 damping factor. This allows projected intake to flatten rather than extending a short arrival ramp at full speed across the entire planning horizon.</w:t>
      </w:r>
    </w:p>
    <w:p>
      <w:r>
        <w:t xml:space="preserve">Source: cloud-platform/prediction-models/src/population_forecast.py</w:t>
      </w:r>
    </w:p>
    <w:p>
      <w:pPr>
        <w:pStyle w:val="Heading2"/>
      </w:pPr>
      <w:r>
        <w:t xml:space="preserve">A.42 Population growth cap</w:t>
      </w:r>
    </w:p>
    <w:p>
      <w:r>
        <w:t xml:space="preserve">Projected population cannot fall below zero, and positive projections are capped at three times the current headcount over the horizon. The returned note states when the cap applies; that guard limits implausible output but does not replace local operational judgment.</w:t>
      </w:r>
    </w:p>
    <w:p>
      <w:r>
        <w:t xml:space="preserve">Source: cloud-platform/prediction-models/src/population_forecast.py</w:t>
      </w:r>
    </w:p>
    <w:p>
      <w:pPr>
        <w:pStyle w:val="Heading2"/>
      </w:pPr>
      <w:r>
        <w:t xml:space="preserve">A.43 Forecast band expansion</w:t>
      </w:r>
    </w:p>
    <w:p>
      <w:r>
        <w:t xml:space="preserve">The residual half-width grows with forecast day offset and the lower band is never negative. Later dates therefore carry visibly wider uncertainty when enough history exists to estimate residual spread.</w:t>
      </w:r>
    </w:p>
    <w:p>
      <w:r>
        <w:t xml:space="preserve">Source: cloud-platform/prediction-models/src/population_forecast.py</w:t>
      </w:r>
    </w:p>
    <w:p>
      <w:pPr>
        <w:pStyle w:val="Heading2"/>
      </w:pPr>
      <w:r>
        <w:t xml:space="preserve">A.44 Seven-day requirement plan</w:t>
      </w:r>
    </w:p>
    <w:p>
      <w:r>
        <w:t xml:space="preserve">The resource forecast applies the daily ration rule to each projected population day, then sums food and water over the horizon. The returned population object includes the method, confidence, slope, and explanatory note, which should travel with any displayed supply total.</w:t>
      </w:r>
    </w:p>
    <w:p>
      <w:r>
        <w:t xml:space="preserve">Source: cloud-platform/prediction-models/src/lka_resource_predictor.py</w:t>
      </w:r>
    </w:p>
    <w:p>
      <w:pPr>
        <w:pStyle w:val="Heading2"/>
      </w:pPr>
      <w:r>
        <w:t xml:space="preserve">A.45 Stable composition assumption</w:t>
      </w:r>
    </w:p>
    <w:p>
      <w:r>
        <w:t xml:space="preserve">The multi-day resource plan keeps child and elderly ratios fixed across the horizon. This is a declared simplification: registration history supplies a population path, but the repository has no demonstrated model for how demographic composition will shift during the event.</w:t>
      </w:r>
    </w:p>
    <w:p>
      <w:r>
        <w:t xml:space="preserve">Source: cloud-platform/prediction-models/src/lka_resource_predictor.py</w:t>
      </w:r>
    </w:p>
    <w:p>
      <w:pPr>
        <w:pStyle w:val="Heading2"/>
      </w:pPr>
      <w:r>
        <w:t xml:space="preserve">A.46 Distribution rate endpoint</w:t>
      </w:r>
    </w:p>
    <w:p>
      <w:r>
        <w:t xml:space="preserve">The cloud resource routes expose distribution/rates alongside today’s requirement and the multi-day plan. The rates response gives operators a way to check the table and provenance underlying food and drinking-water calculations before ordering supplies.</w:t>
      </w:r>
    </w:p>
    <w:p>
      <w:r>
        <w:t xml:space="preserve">Source: cloud-platform/backend/src/routers/resources.routes.js</w:t>
      </w:r>
    </w:p>
    <w:p>
      <w:pPr>
        <w:pStyle w:val="Heading2"/>
      </w:pPr>
      <w:r>
        <w:t xml:space="preserve">A.47 Planning horizon bounds</w:t>
      </w:r>
    </w:p>
    <w:p>
      <w:r>
        <w:t xml:space="preserve">The distribution panel requests a seven-day plan; the backend controller constrains accepted plan horizons to one through thirty days. A dashboard should show the requested horizon explicitly so a weekly total is not mistaken for a daily requirement.</w:t>
      </w:r>
    </w:p>
    <w:p>
      <w:r>
        <w:t xml:space="preserve">Source: docs/resource-dashboard-data-flow.md</w:t>
      </w:r>
    </w:p>
    <w:p>
      <w:pPr>
        <w:pStyle w:val="Heading2"/>
      </w:pPr>
      <w:r>
        <w:t xml:space="preserve">A.48 Inventory and forecast separation</w:t>
      </w:r>
    </w:p>
    <w:p>
      <w:r>
        <w:t xml:space="preserve">The resource dashboard requests inventory, summary, usage timeline, predictions, and categories through separate routes. Inventory is the live stock position, while a forecast is an estimate of future need; the two should be compared only after checking units and generation time.</w:t>
      </w:r>
    </w:p>
    <w:p>
      <w:r>
        <w:t xml:space="preserve">Source: docs/resource-dashboard-data-flow.md</w:t>
      </w:r>
    </w:p>
    <w:p>
      <w:pPr>
        <w:pStyle w:val="Heading2"/>
      </w:pPr>
      <w:r>
        <w:t xml:space="preserve">A.49 Stock outlook inputs</w:t>
      </w:r>
    </w:p>
    <w:p>
      <w:r>
        <w:t xml:space="preserve">The stock outlook route combines resource inventory with population history to estimate days of cover, runout dates, reorder dates, and suggested quantities. Its query horizon is bounded to 7–90 days, separate from the distribution planning horizon.</w:t>
      </w:r>
    </w:p>
    <w:p>
      <w:r>
        <w:t xml:space="preserve">Source: docs/resource-dashboard-data-flow.md</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