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p>
      <w:pPr>
        <w:pStyle w:val="Heading2"/>
      </w:pPr>
      <w:r>
        <w:t xml:space="preserve">A.20 Backend state contract</w:t>
      </w:r>
    </w:p>
    <w:p>
      <w:r>
        <w:t xml:space="preserve">POST /api/network/state accepts the state, measurements, and an optional QoS policy. The backend’s status view exposes the effective state and diagnostics, while GET /api/network/stream publishes status changes as server-sent network events.</w:t>
      </w:r>
    </w:p>
    <w:p>
      <w:r>
        <w:t xml:space="preserve">Source: raspberry-platform/backend/routes/network/network.js</w:t>
      </w:r>
    </w:p>
    <w:p>
      <w:pPr>
        <w:pStyle w:val="Heading2"/>
      </w:pPr>
      <w:r>
        <w:t xml:space="preserve">A.21 Status history retention</w:t>
      </w:r>
    </w:p>
    <w:p>
      <w:r>
        <w:t xml:space="preserve">The network service retains at most 120 in-memory status samples for the operator view. This diagnostic history is distinct from the SQLite MQTT message buffer, so a process restart clears the trend even if operational messages still await delivery.</w:t>
      </w:r>
    </w:p>
    <w:p>
      <w:r>
        <w:t xml:space="preserve">Source: raspberry-platform/backend/services/network/network.js</w:t>
      </w:r>
    </w:p>
    <w:p>
      <w:pPr>
        <w:pStyle w:val="Heading2"/>
      </w:pPr>
      <w:r>
        <w:t xml:space="preserve">A.22 Buffer priority evidence</w:t>
      </w:r>
    </w:p>
    <w:p>
      <w:r>
        <w:t xml:space="preserve">The status response groups unflushed messages in CRITICAL, HIGH, MEDIUM, LOW order and reports each group’s count and oldest timestamp. This exposes whether urgent messages are waiting, instead of hiding that fact behind one total count.</w:t>
      </w:r>
    </w:p>
    <w:p>
      <w:r>
        <w:t xml:space="preserve">Source: raspberry-platform/backend/services/network/network.js</w:t>
      </w:r>
    </w:p>
    <w:p>
      <w:pPr>
        <w:pStyle w:val="Heading2"/>
      </w:pPr>
      <w:r>
        <w:t xml:space="preserve">A.23 Diagnostic payload privacy</w:t>
      </w:r>
    </w:p>
    <w:p>
      <w:r>
        <w:t xml:space="preserve">The browser-facing buffer message list includes identifiers, topics, priorities, QoS, and creation times but omits payloads. This still supports queue inspection without displaying registration names, ages, or medical notes that an MQTT payload may contain.</w:t>
      </w:r>
    </w:p>
    <w:p>
      <w:r>
        <w:t xml:space="preserve">Source: raspberry-platform/backend/services/network/network.js</w:t>
      </w:r>
    </w:p>
    <w:p>
      <w:pPr>
        <w:pStyle w:val="Heading2"/>
      </w:pPr>
      <w:r>
        <w:t xml:space="preserve">A.24 Publish path diagnostic</w:t>
      </w:r>
    </w:p>
    <w:p>
      <w:r>
        <w:t xml:space="preserve">The test-publish service maps each priority to a known source and action and sends a synthetic diagnostic message. It provides an end-to-end way to observe publish versus buffer behavior without waiting for a real registration or distribution event.</w:t>
      </w:r>
    </w:p>
    <w:p>
      <w:r>
        <w:t xml:space="preserve">Source: raspberry-platform/backend/services/network/network.js</w:t>
      </w:r>
    </w:p>
    <w:p>
      <w:pPr>
        <w:pStyle w:val="Heading2"/>
      </w:pPr>
      <w:r>
        <w:t xml:space="preserve">A.25 Network UI verification gap</w:t>
      </w:r>
    </w:p>
    <w:p>
      <w:r>
        <w:t xml:space="preserve">The current NetworkScreen source declares STATE_TONE and Card twice and references an undefined FALLBACK_POLL_MS. The intended status request and event subscription exist, but a frontend build and browser check are needed before treating the operator screen as working.</w:t>
      </w:r>
    </w:p>
    <w:p>
      <w:r>
        <w:t xml:space="preserve">Source: docs/network-monitoring-ui-review.md</w:t>
      </w:r>
    </w:p>
    <w:p>
      <w:pPr>
        <w:pStyle w:val="Heading2"/>
      </w:pPr>
      <w:r>
        <w:t xml:space="preserve">A.26 Sri Lankan resource scope</w:t>
      </w:r>
    </w:p>
    <w:p>
      <w:r>
        <w:t xml:space="preserve">The newer Sri Lankan resource predictor calculates food and drinking-water requirements only. Shelter and medical staffing are outside this module, so a resource plan should identify which product produced each quantity rather than combine unlike outputs under one generic model label.</w:t>
      </w:r>
    </w:p>
    <w:p>
      <w:r>
        <w:t xml:space="preserve">Source: cloud-platform/prediction-models/src/lka_resource_predictor.py</w:t>
      </w:r>
    </w:p>
    <w:p>
      <w:pPr>
        <w:pStyle w:val="Heading2"/>
      </w:pPr>
      <w:r>
        <w:t xml:space="preserve">A.27 Ration rule versus forecast</w:t>
      </w:r>
    </w:p>
    <w:p>
      <w:r>
        <w:t xml:space="preserve">The per-person food and water rates are policy constants in a versioned rate table. Statistical uncertainty enters through future camp headcount; fitting a regressor to population multiplied by a fixed ration would only reproduce the rule and exaggerate evidence of predictive skill.</w:t>
      </w:r>
    </w:p>
    <w:p>
      <w:r>
        <w:t xml:space="preserve">Source: cloud-platform/prediction-models/src/lka_resource_predictor.py</w:t>
      </w:r>
    </w:p>
    <w:p>
      <w:pPr>
        <w:pStyle w:val="Heading2"/>
      </w:pPr>
      <w:r>
        <w:t xml:space="preserve">A.28 Rate provenance</w:t>
      </w:r>
    </w:p>
    <w:p>
      <w:r>
        <w:t xml:space="preserve">The predictor reads ration_rates.json and each stored rate carries evidence metadata. A reported food or water total should be accompanied by the rate-table version and source, because a change in ration guidance alters the requirement even with an unchanged population forecast.</w:t>
      </w:r>
    </w:p>
    <w:p>
      <w:r>
        <w:t xml:space="preserve">Source: cloud-platform/prediction-models/src/lka_resource_predictor.py</w:t>
      </w:r>
    </w:p>
    <w:p>
      <w:pPr>
        <w:pStyle w:val="Heading2"/>
      </w:pPr>
      <w:r>
        <w:t xml:space="preserve">A.29 Demographic input precedence</w:t>
      </w:r>
    </w:p>
    <w:p>
      <w:r>
        <w:t xml:space="preserve">daily_requirement accepts either child and elderly counts or ratios; explicit counts take precedence. It clamps counts to the population and assigns everyone outside those cohorts to adults, so data quality in the camp roster directly affects the breakdown.</w:t>
      </w:r>
    </w:p>
    <w:p>
      <w:r>
        <w:t xml:space="preserve">Source: cloud-platform/prediction-models/src/lka_resource_predictor.py</w:t>
      </w:r>
    </w:p>
    <w:p>
      <w:pPr>
        <w:pStyle w:val="Heading2"/>
      </w:pPr>
      <w:r>
        <w:t xml:space="preserve">A.30 Pregnancy top-ups</w:t>
      </w:r>
    </w:p>
    <w:p>
      <w:r>
        <w:t xml:space="preserve">The ration rule adds food and drinking-water top-ups for the supplied pregnant count after base cohort requirements. The count is bounded by total population; it should be audited separately from age cohorts because it is an additional allowance, not a replacement cohort.</w:t>
      </w:r>
    </w:p>
    <w:p>
      <w:r>
        <w:t xml:space="preserve">Source: cloud-platform/prediction-models/src/lka_resource_predictor.py</w:t>
      </w:r>
    </w:p>
    <w:p>
      <w:pPr>
        <w:pStyle w:val="Heading2"/>
      </w:pPr>
      <w:r>
        <w:t xml:space="preserve">A.31 Older adult rate split</w:t>
      </w:r>
    </w:p>
    <w:p>
      <w:r>
        <w:t xml:space="preserve">When the roster provides a count aged 75 and over, the food calculation applies separate rates for ages 60–74 and 75+. Without that split it uses a blended older-adult rate, and the reported breakdown identifies what was assumed.</w:t>
      </w:r>
    </w:p>
    <w:p>
      <w:r>
        <w:t xml:space="preserve">Source: cloud-platform/prediction-models/src/lka_resource_predictor.py</w:t>
      </w:r>
    </w:p>
    <w:p>
      <w:pPr>
        <w:pStyle w:val="Heading2"/>
      </w:pPr>
      <w:r>
        <w:t xml:space="preserve">A.32 Child intake model usage</w:t>
      </w:r>
    </w:p>
    <w:p>
      <w:r>
        <w:t xml:space="preserve">If individual child records and the optional trained model are available, the predictor uses a cohort mean from those records. Without them it uses the child rate-table constant, and the response labels the basis so an operator can tell which path produced the estimate.</w:t>
      </w:r>
    </w:p>
    <w:p>
      <w:r>
        <w:t xml:space="preserve">Source: cloud-platform/prediction-models/src/lka_resource_predictor.py</w:t>
      </w:r>
    </w:p>
    <w:p>
      <w:pPr>
        <w:pStyle w:val="Heading2"/>
      </w:pPr>
      <w:r>
        <w:t xml:space="preserve">A.33 Child model artifact portability</w:t>
      </w:r>
    </w:p>
    <w:p>
      <w:r>
        <w:t xml:space="preserve">The child intake Ridge model is stored as JSON coefficients, intercept, feature order, and scaler values. Python and Node can therefore apply the same trained parameters without depending on a pickle loader in the backend.</w:t>
      </w:r>
    </w:p>
    <w:p>
      <w:r>
        <w:t xml:space="preserve">Source: cloud-platform/prediction-models/src/lka_intake_model.py</w:t>
      </w:r>
    </w:p>
    <w:p>
      <w:pPr>
        <w:pStyle w:val="Heading2"/>
      </w:pPr>
      <w:r>
        <w:t xml:space="preserve">A.34 Child input boundaries</w:t>
      </w:r>
    </w:p>
    <w:p>
      <w:r>
        <w:t xml:space="preserve">Child ages outside the training range are clamped and flagged as extrapolated. If province is unknown, the design row uses national marginal province dummy means rather than silently assigning the reference province.</w:t>
      </w:r>
    </w:p>
    <w:p>
      <w:r>
        <w:t xml:space="preserve">Source: cloud-platform/prediction-models/src/lka_intake_model.py</w:t>
      </w:r>
    </w:p>
    <w:p>
      <w:pPr>
        <w:pStyle w:val="Heading2"/>
      </w:pPr>
      <w:r>
        <w:t xml:space="preserve">A.35 Individual versus cohort error</w:t>
      </w:r>
    </w:p>
    <w:p>
      <w:r>
        <w:t xml:space="preserve">The child model’s artifact reports low per-person cross-validated R², around 0.07. The implementation frames its output as a camp-cohort estimate and exposes the number of children included and ages clamped; it should not be used as a precise personal ration.</w:t>
      </w:r>
    </w:p>
    <w:p>
      <w:r>
        <w:t xml:space="preserve">Source: cloud-platform/prediction-models/src/lka_intake_model.py</w:t>
      </w:r>
    </w:p>
    <w:p>
      <w:pPr>
        <w:pStyle w:val="Heading2"/>
      </w:pPr>
      <w:r>
        <w:t xml:space="preserve">A.36 Population history normalization</w:t>
      </w:r>
    </w:p>
    <w:p>
      <w:r>
        <w:t xml:space="preserve">The population forecaster sorts observations by date and retains one reading per calendar day, using the last reading for duplicates. Forecast inputs should therefore be inspected for missing dates and overwritten same-day counts before interpreting the trend.</w:t>
      </w:r>
    </w:p>
    <w:p>
      <w:r>
        <w:t xml:space="preserve">Source: cloud-platform/prediction-models/src/population_forecast.py</w:t>
      </w:r>
    </w:p>
    <w:p>
      <w:pPr>
        <w:pStyle w:val="Heading2"/>
      </w:pPr>
      <w:r>
        <w:t xml:space="preserve">A.37 Cold-start population plan</w:t>
      </w:r>
    </w:p>
    <w:p>
      <w:r>
        <w:t xml:space="preserve">With fewer than three observed days, the population method holds today’s headcount flat and labels confidence LOW. This is an explicit fallback, not a trend estimate; resulting food and water quantities are still computed from that held headcount.</w:t>
      </w:r>
    </w:p>
    <w:p>
      <w:r>
        <w:t xml:space="preserve">Source: cloud-platform/prediction-models/src/population_forecast.py</w:t>
      </w:r>
    </w:p>
    <w:p>
      <w:pPr>
        <w:pStyle w:val="Heading2"/>
      </w:pPr>
      <w:r>
        <w:t xml:space="preserve">A.38 Robust intake slope</w:t>
      </w:r>
    </w:p>
    <w:p>
      <w:r>
        <w:t xml:space="preserve">From three distinct days onward, the forecaster uses a Theil–Sen slope, the median of pairwise population changes over time. A large arrival burst has less influence on this estimate than it would on a least-squares line fitted through every day.</w:t>
      </w:r>
    </w:p>
    <w:p>
      <w:r>
        <w:t xml:space="preserve">Source: cloud-platform/prediction-models/src/population_forecast.py</w:t>
      </w:r>
    </w:p>
    <w:p>
      <w:pPr>
        <w:pStyle w:val="Heading2"/>
      </w:pPr>
      <w:r>
        <w:t xml:space="preserve">A.39 Recent trend window</w:t>
      </w:r>
    </w:p>
    <w:p>
      <w:r>
        <w:t xml:space="preserve">The default trend fit uses the last seven days when more history exists. This limits the effect of an early intake surge on a camp that is now stabilizing or emptying; the full observation count is still retained for confidence reporting.</w:t>
      </w:r>
    </w:p>
    <w:p>
      <w:r>
        <w:t xml:space="preserve">Source: cloud-platform/prediction-models/src/population_forecast.py</w:t>
      </w:r>
    </w:p>
    <w:p>
      <w:pPr>
        <w:pStyle w:val="Heading2"/>
      </w:pPr>
      <w:r>
        <w:t xml:space="preserve">A.40 Uncertainty band threshold</w:t>
      </w:r>
    </w:p>
    <w:p>
      <w:r>
        <w:t xml:space="preserve">A residual-based band is reported only when at least seven distinct days are observed. With three to six days the method returns a trend and MEDIUM confidence but no estimated spread, avoiding a false impression of quantified uncertainty from too little data.</w:t>
      </w:r>
    </w:p>
    <w:p>
      <w:r>
        <w:t xml:space="preserve">Source: cloud-platform/prediction-models/src/population_forecast.py</w:t>
      </w:r>
    </w:p>
    <w:p>
      <w:pPr>
        <w:pStyle w:val="Heading2"/>
      </w:pPr>
      <w:r>
        <w:t xml:space="preserve">A.41 Damped projection</w:t>
      </w:r>
    </w:p>
    <w:p>
      <w:r>
        <w:t xml:space="preserve">Each future day contributes a smaller share of the fitted slope under the default 0.8 damping factor. This allows projected intake to flatten rather than extending a short arrival ramp at full speed across the entire planning horizon.</w:t>
      </w:r>
    </w:p>
    <w:p>
      <w:r>
        <w:t xml:space="preserve">Source: cloud-platform/prediction-models/src/population_forecast.py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