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p>
      <w:pPr>
        <w:pStyle w:val="Heading2"/>
      </w:pPr>
      <w:r>
        <w:t xml:space="preserve">A.44 Seven-day requirement plan</w:t>
      </w:r>
    </w:p>
    <w:p>
      <w:r>
        <w:t xml:space="preserve">The resource forecast applies the daily ration rule to each projected population day, then sums food and water over the horizon. The returned population object includes the method, confidence, slope, and explanatory note, which should travel with any displayed supply total.</w:t>
      </w:r>
    </w:p>
    <w:p>
      <w:r>
        <w:t xml:space="preserve">Source: cloud-platform/prediction-models/src/lka_resource_predictor.py</w:t>
      </w:r>
    </w:p>
    <w:p>
      <w:pPr>
        <w:pStyle w:val="Heading2"/>
      </w:pPr>
      <w:r>
        <w:t xml:space="preserve">A.45 Stable composition assumption</w:t>
      </w:r>
    </w:p>
    <w:p>
      <w:r>
        <w:t xml:space="preserve">The multi-day resource plan keeps child and elderly ratios fixed across the horizon. This is a declared simplification: registration history supplies a population path, but the repository has no demonstrated model for how demographic composition will shift during the event.</w:t>
      </w:r>
    </w:p>
    <w:p>
      <w:r>
        <w:t xml:space="preserve">Source: cloud-platform/prediction-models/src/lka_resource_predictor.py</w:t>
      </w:r>
    </w:p>
    <w:p>
      <w:pPr>
        <w:pStyle w:val="Heading2"/>
      </w:pPr>
      <w:r>
        <w:t xml:space="preserve">A.46 Distribution rate endpoint</w:t>
      </w:r>
    </w:p>
    <w:p>
      <w:r>
        <w:t xml:space="preserve">The cloud resource routes expose distribution/rates alongside today’s requirement and the multi-day plan. The rates response gives operators a way to check the table and provenance underlying food and drinking-water calculations before ordering supplies.</w:t>
      </w:r>
    </w:p>
    <w:p>
      <w:r>
        <w:t xml:space="preserve">Source: cloud-platform/backend/src/routers/resources.routes.js</w:t>
      </w:r>
    </w:p>
    <w:p>
      <w:pPr>
        <w:pStyle w:val="Heading2"/>
      </w:pPr>
      <w:r>
        <w:t xml:space="preserve">A.47 Planning horizon bounds</w:t>
      </w:r>
    </w:p>
    <w:p>
      <w:r>
        <w:t xml:space="preserve">The distribution panel requests a seven-day plan; the backend controller constrains accepted plan horizons to one through thirty days. A dashboard should show the requested horizon explicitly so a weekly total is not mistaken for a daily requirement.</w:t>
      </w:r>
    </w:p>
    <w:p>
      <w:r>
        <w:t xml:space="preserve">Source: docs/resource-dashboard-data-flow.md</w:t>
      </w:r>
    </w:p>
    <w:p>
      <w:pPr>
        <w:pStyle w:val="Heading2"/>
      </w:pPr>
      <w:r>
        <w:t xml:space="preserve">A.48 Inventory and forecast separation</w:t>
      </w:r>
    </w:p>
    <w:p>
      <w:r>
        <w:t xml:space="preserve">The resource dashboard requests inventory, summary, usage timeline, predictions, and categories through separate routes. Inventory is the live stock position, while a forecast is an estimate of future need; the two should be compared only after checking units and generation time.</w:t>
      </w:r>
    </w:p>
    <w:p>
      <w:r>
        <w:t xml:space="preserve">Source: docs/resource-dashboard-data-flow.md</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