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p>
      <w:pPr>
        <w:pStyle w:val="Heading2"/>
      </w:pPr>
      <w:r>
        <w:t xml:space="preserve">A.32 Child intake model usage</w:t>
      </w:r>
    </w:p>
    <w:p>
      <w:r>
        <w:t xml:space="preserve">If individual child records and the optional trained model are available, the predictor uses a cohort mean from those records. Without them it uses the child rate-table constant, and the response labels the basis so an operator can tell which path produced the estimate.</w:t>
      </w:r>
    </w:p>
    <w:p>
      <w:r>
        <w:t xml:space="preserve">Source: cloud-platform/prediction-models/src/lka_resource_predictor.py</w:t>
      </w:r>
    </w:p>
    <w:p>
      <w:pPr>
        <w:pStyle w:val="Heading2"/>
      </w:pPr>
      <w:r>
        <w:t xml:space="preserve">A.33 Child model artifact portability</w:t>
      </w:r>
    </w:p>
    <w:p>
      <w:r>
        <w:t xml:space="preserve">The child intake Ridge model is stored as JSON coefficients, intercept, feature order, and scaler values. Python and Node can therefore apply the same trained parameters without depending on a pickle loader in the backend.</w:t>
      </w:r>
    </w:p>
    <w:p>
      <w:r>
        <w:t xml:space="preserve">Source: cloud-platform/prediction-models/src/lka_intake_model.py</w:t>
      </w:r>
    </w:p>
    <w:p>
      <w:pPr>
        <w:pStyle w:val="Heading2"/>
      </w:pPr>
      <w:r>
        <w:t xml:space="preserve">A.34 Child input boundaries</w:t>
      </w:r>
    </w:p>
    <w:p>
      <w:r>
        <w:t xml:space="preserve">Child ages outside the training range are clamped and flagged as extrapolated. If province is unknown, the design row uses national marginal province dummy means rather than silently assigning the reference province.</w:t>
      </w:r>
    </w:p>
    <w:p>
      <w:r>
        <w:t xml:space="preserve">Source: cloud-platform/prediction-models/src/lka_intake_model.py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