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>04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>SWTID-2026-6519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>User &amp; Role Management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Create test user EEE User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Create custom roles bb1, bb2, bb3, bb4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Assign all roles to the EEE User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>FR-2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>Data Management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Create custom table u_institution_details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Add fields: Roll Number, Student, Faculty, Branch, Email, Phone, Description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Insert sample records for ECE, EEE and CSE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>FR-3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>Read ACL (script-controlled)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Require role bb1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Data condition: Branch is EEE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Advanced script: admin / bb1 → true, others → false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>FR-4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>Create ACL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Require role bb2 to see the New button and create records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>FR-5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>Write ACL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Require role bb3 to edit records (inline / form)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>FR-6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>Delete ACL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Require role bb4 to delete records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>FR-7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>Admin Override &amp; Verification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Administrator keeps full access to all branches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Verify through user impersonation (EEE User, no-role user, admin)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>Usability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>Access rules are applied transparently; users simply see the lists/forms they are allowed to see (e.g. New button appears only with bb2).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>NFR-2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>Security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>Least privilege: separate role per operation (read, create, write, delete); EEE branch data hidden from other users; changes to ACLs need security_admin elevation.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>NFR-3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>Reliability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>ACLs are evaluated by the platform on every request, so rules cannot be bypassed from list, form or Service Portal.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>NFR-4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>Performance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>Simple role checks and one field condition – negligible overhead; no GlideRecord queries inside the script.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>NFR-5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>Availability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>Runs on the ServiceNow cloud instance; ACLs are active as soon as saved (and can be captured in an update set).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>NFR-6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>Scalability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>Same pattern can be copied to other tables/branches by changing the table, role and data condition.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