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04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[Your 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Empathy Map – Script-Controlled ACL (ServiceNow):</w:t>
      </w:r>
    </w:p>
    <w:p w:rsidR="00000000" w:rsidDel="00000000" w:rsidP="00000000" w:rsidRDefault="00000000" w:rsidRPr="00000000" w14:paraId="00000013">
      <w:pPr>
        <w:jc w:val="center"/>
        <w:rPr>
          <w:b w:val="1"/>
          <w:color w:val="2a2a2a"/>
          <w:sz w:val="24"/>
          <w:szCs w:val="24"/>
        </w:rPr>
      </w:pPr>
      <w:r w:rsidDel="00000000" w:rsidR="00000000" w:rsidRPr="00000000">
        <w:rPr>
          <w:rtl w:val="0"/>
        </w:rPr>
      </w:r>
      <w:r>
        <w:drawing>
          <wp:inline>
            <wp:extent cx="5669280" cy="4132496"/>
            <wp:docPr id="7" name="Picture 7"/>
            <wp:cNvGraphicFramePr>
              <a:graphicFrameLocks noChangeAspect="1"/>
            </wp:cNvGraphicFramePr>
            <a:graphic>
              <a:graphicData uri="http://schemas.openxmlformats.org/drawingml/2006/picture">
                <pic:pic>
                  <pic:nvPicPr>
                    <pic:cNvPr id="0" name="empathy_map.png"/>
                    <pic:cNvPicPr/>
                  </pic:nvPicPr>
                  <pic:blipFill>
                    <a:blip r:embed="rId10"/>
                    <a:stretch>
                      <a:fillRect/>
                    </a:stretch>
                  </pic:blipFill>
                  <pic:spPr>
                    <a:xfrm>
                      <a:off x="0" y="0"/>
                      <a:ext cx="5669280" cy="4132496"/>
                    </a:xfrm>
                    <a:prstGeom prst="rect"/>
                  </pic:spPr>
                </pic:pic>
              </a:graphicData>
            </a:graphic>
          </wp:inline>
        </w:drawing>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