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04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[Your Team ID]</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Script-Controlled ACL – Restrict Record Access Based on Field Value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pPr>
        <w:jc w:val="center"/>
      </w:pPr>
      <w:r>
        <w:drawing>
          <wp:inline xmlns:a="http://schemas.openxmlformats.org/drawingml/2006/main" xmlns:pic="http://schemas.openxmlformats.org/drawingml/2006/picture">
            <wp:extent cx="5760720" cy="3948679"/>
            <wp:docPr id="1" name="Picture 1"/>
            <wp:cNvGraphicFramePr>
              <a:graphicFrameLocks noChangeAspect="1"/>
            </wp:cNvGraphicFramePr>
            <a:graphic>
              <a:graphicData uri="http://schemas.openxmlformats.org/drawingml/2006/picture">
                <pic:pic>
                  <pic:nvPicPr>
                    <pic:cNvPr id="0" name="psf_canvas.png"/>
                    <pic:cNvPicPr/>
                  </pic:nvPicPr>
                  <pic:blipFill>
                    <a:blip r:embed="rId11"/>
                    <a:stretch>
                      <a:fillRect/>
                    </a:stretch>
                  </pic:blipFill>
                  <pic:spPr>
                    <a:xfrm>
                      <a:off x="0" y="0"/>
                      <a:ext cx="5760720" cy="3948679"/>
                    </a:xfrm>
                    <a:prstGeom prst="rect"/>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