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color w:val="1F4E79"/>
          <w:sz w:val="22"/>
        </w:rPr>
        <w:t>WEEK 1 PROJECT REPORT</w:t>
      </w:r>
    </w:p>
    <w:p>
      <w:pPr>
        <w:pStyle w:val="Title"/>
        <w:widowControl/>
        <w:jc w:val="center"/>
      </w:pPr>
      <w:r>
        <w:t>Titanic Data Cleaning and</w:t>
        <w:br/>
        <w:t>Preliminary Analysis</w:t>
      </w:r>
    </w:p>
    <w:p>
      <w:pPr>
        <w:widowControl/>
        <w:jc w:val="center"/>
      </w:pPr>
      <w:r>
        <w:rPr>
          <w:i/>
          <w:sz w:val="24"/>
        </w:rPr>
        <w:t>R / RStudio • Data Cleaning • Exploratory Data Analysis</w:t>
      </w:r>
    </w:p>
    <w:p>
      <w:pPr>
        <w:widowControl/>
      </w:pP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Prepared by</w:t>
            </w:r>
          </w:p>
        </w:tc>
        <w:tc>
          <w:tcPr>
            <w:tcW w:type="dxa" w:w="5040"/>
          </w:tcPr>
          <w:p>
            <w:r>
              <w:t>Suhas D</w:t>
            </w:r>
          </w:p>
        </w:tc>
      </w:tr>
      <w:tr>
        <w:tc>
          <w:tcPr>
            <w:tcW w:type="dxa" w:w="5040"/>
          </w:tcPr>
          <w:p>
            <w:r>
              <w:rPr>
                <w:b/>
              </w:rPr>
              <w:t>Project</w:t>
            </w:r>
          </w:p>
        </w:tc>
        <w:tc>
          <w:tcPr>
            <w:tcW w:type="dxa" w:w="5040"/>
          </w:tcPr>
          <w:p>
            <w:r>
              <w:t>Week 1 - Titanic Dataset</w:t>
            </w:r>
          </w:p>
        </w:tc>
      </w:tr>
      <w:tr>
        <w:tc>
          <w:tcPr>
            <w:tcW w:type="dxa" w:w="5040"/>
          </w:tcPr>
          <w:p>
            <w:r>
              <w:rPr>
                <w:b/>
              </w:rPr>
              <w:t>Tool</w:t>
            </w:r>
          </w:p>
        </w:tc>
        <w:tc>
          <w:tcPr>
            <w:tcW w:type="dxa" w:w="5040"/>
          </w:tcPr>
          <w:p>
            <w:r>
              <w:t>R / RStudio (Base R)</w:t>
            </w:r>
          </w:p>
        </w:tc>
      </w:tr>
      <w:tr>
        <w:tc>
          <w:tcPr>
            <w:tcW w:type="dxa" w:w="5040"/>
          </w:tcPr>
          <w:p>
            <w:r>
              <w:rPr>
                <w:b/>
              </w:rPr>
              <w:t>Date</w:t>
            </w:r>
          </w:p>
        </w:tc>
        <w:tc>
          <w:tcPr>
            <w:tcW w:type="dxa" w:w="5040"/>
          </w:tcPr>
          <w:p>
            <w:r>
              <w:t>October 2026</w:t>
            </w:r>
          </w:p>
        </w:tc>
      </w:tr>
    </w:tbl>
    <w:p>
      <w:pPr>
        <w:widowControl/>
        <w:jc w:val="center"/>
      </w:pPr>
      <w:r>
        <w:rPr>
          <w:sz w:val="20"/>
        </w:rPr>
        <w:t>Project deliverables: cleaned dataset, analysis tables, visualizations, and reproducible R script.</w:t>
      </w:r>
    </w:p>
    <w:p>
      <w:pPr>
        <w:widowControl/>
      </w:pPr>
      <w:r>
        <w:br w:type="page"/>
      </w:r>
    </w:p>
    <w:p>
      <w:pPr>
        <w:pStyle w:val="Heading1"/>
        <w:widowControl/>
      </w:pPr>
      <w:r>
        <w:t>1. Executive Summary</w:t>
      </w:r>
    </w:p>
    <w:p>
      <w:pPr>
        <w:widowControl/>
        <w:spacing w:after="120" w:line="259" w:lineRule="auto"/>
      </w:pPr>
      <w:r>
        <w:t>This Week 1 project cleans and analyzes the Titanic passenger dataset using base R. The workflow validates records, identifies missing values and duplicates, imputes selected fields, engineers useful features, detects outliers, creates scaled variables, produces descriptive statistics, examines survival patterns, and exports a fully cleaned dataset with supporting tables and plots.</w:t>
      </w:r>
    </w:p>
    <w:p>
      <w:pPr>
        <w:widowControl/>
        <w:spacing w:after="120" w:line="259" w:lineRule="auto"/>
      </w:pPr>
      <w:r>
        <w:t>After validation, the final dataset contains 891 unique passenger records with no missing values. The clearest preliminary finding is the large survival difference by sex: 74.2% of female passengers survived compared with 18.75% of male passengers. Survival also decreased substantially from first class to third class.</w:t>
      </w:r>
    </w:p>
    <w:p>
      <w:pPr>
        <w:pStyle w:val="Heading1"/>
        <w:widowControl/>
      </w:pPr>
      <w:r>
        <w:t>2. Project Objectives</w:t>
      </w:r>
    </w:p>
    <w:p>
      <w:pPr>
        <w:pStyle w:val="ListBullet"/>
        <w:widowControl/>
        <w:spacing w:after="60"/>
      </w:pPr>
      <w:r>
        <w:t>Import and inspect the raw Titanic dataset in R.</w:t>
      </w:r>
    </w:p>
    <w:p>
      <w:pPr>
        <w:pStyle w:val="ListBullet"/>
        <w:widowControl/>
        <w:spacing w:after="60"/>
      </w:pPr>
      <w:r>
        <w:t>Identify malformed records, duplicate rows, and missing values.</w:t>
      </w:r>
    </w:p>
    <w:p>
      <w:pPr>
        <w:pStyle w:val="ListBullet"/>
        <w:widowControl/>
        <w:spacing w:after="60"/>
      </w:pPr>
      <w:r>
        <w:t>Clean and transform the dataset while preserving meaningful information.</w:t>
      </w:r>
    </w:p>
    <w:p>
      <w:pPr>
        <w:pStyle w:val="ListBullet"/>
        <w:widowControl/>
        <w:spacing w:after="60"/>
      </w:pPr>
      <w:r>
        <w:t>Detect potential outliers using the IQR rule.</w:t>
      </w:r>
    </w:p>
    <w:p>
      <w:pPr>
        <w:pStyle w:val="ListBullet"/>
        <w:widowControl/>
        <w:spacing w:after="60"/>
      </w:pPr>
      <w:r>
        <w:t>Create useful derived and encoded features for later analysis.</w:t>
      </w:r>
    </w:p>
    <w:p>
      <w:pPr>
        <w:pStyle w:val="ListBullet"/>
        <w:widowControl/>
        <w:spacing w:after="60"/>
      </w:pPr>
      <w:r>
        <w:t>Summarize survival patterns and numerical variables.</w:t>
      </w:r>
    </w:p>
    <w:p>
      <w:pPr>
        <w:pStyle w:val="ListBullet"/>
        <w:widowControl/>
        <w:spacing w:after="60"/>
      </w:pPr>
      <w:r>
        <w:t>Export reproducible tables, charts, and a cleaned CSV dataset.</w:t>
      </w:r>
    </w:p>
    <w:p>
      <w:pPr>
        <w:pStyle w:val="Heading1"/>
        <w:widowControl/>
      </w:pPr>
      <w:r>
        <w:t>3. Dataset and Tools</w:t>
      </w:r>
    </w:p>
    <w:p>
      <w:pPr>
        <w:widowControl/>
        <w:spacing w:after="120" w:line="259" w:lineRule="auto"/>
      </w:pPr>
      <w:r>
        <w:t>The analysis uses the Titanic passenger dataset. Core variables include PassengerId, Survived, passenger class (Pclass), Name, Sex, Age, family counts (SibSp and Parch), Ticket, Fare, Cabin, and Embarked. The project was implemented in base R and exported as a self-contained project folder.</w:t>
      </w:r>
    </w:p>
    <w:p>
      <w:pPr>
        <w:widowControl/>
        <w:spacing w:after="120" w:line="259" w:lineRule="auto"/>
      </w:pPr>
      <w:r>
        <w:t>The script uses only base R functions, which keeps the workflow reproducible without additional package installation.</w:t>
      </w:r>
    </w:p>
    <w:p>
      <w:pPr>
        <w:pStyle w:val="Heading1"/>
        <w:widowControl/>
      </w:pPr>
      <w:r>
        <w:t>4. Data Cleaning Workflow</w:t>
      </w:r>
    </w:p>
    <w:p>
      <w:pPr>
        <w:pStyle w:val="Heading2"/>
        <w:widowControl/>
      </w:pPr>
      <w:r>
        <w:t>4.1 Record validation and duplicate checking</w:t>
      </w:r>
    </w:p>
    <w:p>
      <w:pPr>
        <w:widowControl/>
        <w:spacing w:after="120" w:line="259" w:lineRule="auto"/>
      </w:pPr>
      <w:r>
        <w:t>Records were considered valid when PassengerId was numeric and Survived and Pclass were present. One malformed row was rejected. Exact duplicate rows were checked and removed if present. PassengerId was converted to integer, and a final validation confirmed 891 unique passengers.</w:t>
      </w:r>
    </w:p>
    <w:p>
      <w:pPr>
        <w:pStyle w:val="Heading2"/>
        <w:widowControl/>
      </w:pPr>
      <w:r>
        <w:t>4.2 Missing-value treatment</w:t>
      </w:r>
    </w:p>
    <w:p>
      <w:pPr>
        <w:widowControl/>
        <w:spacing w:after="120" w:line="259" w:lineRule="auto"/>
      </w:pPr>
      <w:r>
        <w:t>Missingness was measured before imputation. Cabin had the highest missing rate (77.10%), followed by Age (19.87%). Embarked had 0.34% missing, while Name and Sex each had 0.11%.</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rPr>
                <w:b/>
                <w:sz w:val="18"/>
              </w:rPr>
              <w:t>variable</w:t>
            </w:r>
          </w:p>
        </w:tc>
        <w:tc>
          <w:tcPr>
            <w:tcW w:type="dxa" w:w="3360"/>
          </w:tcPr>
          <w:p>
            <w:r>
              <w:rPr>
                <w:b/>
                <w:sz w:val="18"/>
              </w:rPr>
              <w:t>missing</w:t>
            </w:r>
          </w:p>
        </w:tc>
        <w:tc>
          <w:tcPr>
            <w:tcW w:type="dxa" w:w="3360"/>
          </w:tcPr>
          <w:p>
            <w:r>
              <w:rPr>
                <w:b/>
                <w:sz w:val="18"/>
              </w:rPr>
              <w:t>percent</w:t>
            </w:r>
          </w:p>
        </w:tc>
      </w:tr>
      <w:tr>
        <w:tc>
          <w:tcPr>
            <w:tcW w:type="dxa" w:w="3360"/>
            <w:vAlign w:val="center"/>
          </w:tcPr>
          <w:p>
            <w:r>
              <w:rPr>
                <w:sz w:val="18"/>
              </w:rPr>
              <w:t>PassengerId</w:t>
            </w:r>
          </w:p>
        </w:tc>
        <w:tc>
          <w:tcPr>
            <w:tcW w:type="dxa" w:w="3360"/>
            <w:vAlign w:val="center"/>
          </w:tcPr>
          <w:p>
            <w:r>
              <w:rPr>
                <w:sz w:val="18"/>
              </w:rPr>
              <w:t>0</w:t>
            </w:r>
          </w:p>
        </w:tc>
        <w:tc>
          <w:tcPr>
            <w:tcW w:type="dxa" w:w="3360"/>
            <w:vAlign w:val="center"/>
          </w:tcPr>
          <w:p>
            <w:r>
              <w:rPr>
                <w:sz w:val="18"/>
              </w:rPr>
              <w:t>0.00%</w:t>
            </w:r>
          </w:p>
        </w:tc>
      </w:tr>
      <w:tr>
        <w:tc>
          <w:tcPr>
            <w:tcW w:type="dxa" w:w="3360"/>
            <w:vAlign w:val="center"/>
          </w:tcPr>
          <w:p>
            <w:r>
              <w:rPr>
                <w:sz w:val="18"/>
              </w:rPr>
              <w:t>Survived</w:t>
            </w:r>
          </w:p>
        </w:tc>
        <w:tc>
          <w:tcPr>
            <w:tcW w:type="dxa" w:w="3360"/>
            <w:vAlign w:val="center"/>
          </w:tcPr>
          <w:p>
            <w:r>
              <w:rPr>
                <w:sz w:val="18"/>
              </w:rPr>
              <w:t>0</w:t>
            </w:r>
          </w:p>
        </w:tc>
        <w:tc>
          <w:tcPr>
            <w:tcW w:type="dxa" w:w="3360"/>
            <w:vAlign w:val="center"/>
          </w:tcPr>
          <w:p>
            <w:r>
              <w:rPr>
                <w:sz w:val="18"/>
              </w:rPr>
              <w:t>0.00%</w:t>
            </w:r>
          </w:p>
        </w:tc>
      </w:tr>
      <w:tr>
        <w:tc>
          <w:tcPr>
            <w:tcW w:type="dxa" w:w="3360"/>
            <w:vAlign w:val="center"/>
          </w:tcPr>
          <w:p>
            <w:r>
              <w:rPr>
                <w:sz w:val="18"/>
              </w:rPr>
              <w:t>Pclass</w:t>
            </w:r>
          </w:p>
        </w:tc>
        <w:tc>
          <w:tcPr>
            <w:tcW w:type="dxa" w:w="3360"/>
            <w:vAlign w:val="center"/>
          </w:tcPr>
          <w:p>
            <w:r>
              <w:rPr>
                <w:sz w:val="18"/>
              </w:rPr>
              <w:t>0</w:t>
            </w:r>
          </w:p>
        </w:tc>
        <w:tc>
          <w:tcPr>
            <w:tcW w:type="dxa" w:w="3360"/>
            <w:vAlign w:val="center"/>
          </w:tcPr>
          <w:p>
            <w:r>
              <w:rPr>
                <w:sz w:val="18"/>
              </w:rPr>
              <w:t>0.00%</w:t>
            </w:r>
          </w:p>
        </w:tc>
      </w:tr>
      <w:tr>
        <w:tc>
          <w:tcPr>
            <w:tcW w:type="dxa" w:w="3360"/>
            <w:vAlign w:val="center"/>
          </w:tcPr>
          <w:p>
            <w:r>
              <w:rPr>
                <w:sz w:val="18"/>
              </w:rPr>
              <w:t>Name</w:t>
            </w:r>
          </w:p>
        </w:tc>
        <w:tc>
          <w:tcPr>
            <w:tcW w:type="dxa" w:w="3360"/>
            <w:vAlign w:val="center"/>
          </w:tcPr>
          <w:p>
            <w:r>
              <w:rPr>
                <w:sz w:val="18"/>
              </w:rPr>
              <w:t>1</w:t>
            </w:r>
          </w:p>
        </w:tc>
        <w:tc>
          <w:tcPr>
            <w:tcW w:type="dxa" w:w="3360"/>
            <w:vAlign w:val="center"/>
          </w:tcPr>
          <w:p>
            <w:r>
              <w:rPr>
                <w:sz w:val="18"/>
              </w:rPr>
              <w:t>0.11%</w:t>
            </w:r>
          </w:p>
        </w:tc>
      </w:tr>
      <w:tr>
        <w:tc>
          <w:tcPr>
            <w:tcW w:type="dxa" w:w="3360"/>
            <w:vAlign w:val="center"/>
          </w:tcPr>
          <w:p>
            <w:r>
              <w:rPr>
                <w:sz w:val="18"/>
              </w:rPr>
              <w:t>Sex</w:t>
            </w:r>
          </w:p>
        </w:tc>
        <w:tc>
          <w:tcPr>
            <w:tcW w:type="dxa" w:w="3360"/>
            <w:vAlign w:val="center"/>
          </w:tcPr>
          <w:p>
            <w:r>
              <w:rPr>
                <w:sz w:val="18"/>
              </w:rPr>
              <w:t>1</w:t>
            </w:r>
          </w:p>
        </w:tc>
        <w:tc>
          <w:tcPr>
            <w:tcW w:type="dxa" w:w="3360"/>
            <w:vAlign w:val="center"/>
          </w:tcPr>
          <w:p>
            <w:r>
              <w:rPr>
                <w:sz w:val="18"/>
              </w:rPr>
              <w:t>0.11%</w:t>
            </w:r>
          </w:p>
        </w:tc>
      </w:tr>
      <w:tr>
        <w:tc>
          <w:tcPr>
            <w:tcW w:type="dxa" w:w="3360"/>
            <w:vAlign w:val="center"/>
          </w:tcPr>
          <w:p>
            <w:r>
              <w:rPr>
                <w:sz w:val="18"/>
              </w:rPr>
              <w:t>Age</w:t>
            </w:r>
          </w:p>
        </w:tc>
        <w:tc>
          <w:tcPr>
            <w:tcW w:type="dxa" w:w="3360"/>
            <w:vAlign w:val="center"/>
          </w:tcPr>
          <w:p>
            <w:r>
              <w:rPr>
                <w:sz w:val="18"/>
              </w:rPr>
              <w:t>177</w:t>
            </w:r>
          </w:p>
        </w:tc>
        <w:tc>
          <w:tcPr>
            <w:tcW w:type="dxa" w:w="3360"/>
            <w:vAlign w:val="center"/>
          </w:tcPr>
          <w:p>
            <w:r>
              <w:rPr>
                <w:sz w:val="18"/>
              </w:rPr>
              <w:t>19.87%</w:t>
            </w:r>
          </w:p>
        </w:tc>
      </w:tr>
      <w:tr>
        <w:tc>
          <w:tcPr>
            <w:tcW w:type="dxa" w:w="3360"/>
            <w:vAlign w:val="center"/>
          </w:tcPr>
          <w:p>
            <w:r>
              <w:rPr>
                <w:sz w:val="18"/>
              </w:rPr>
              <w:t>SibSp</w:t>
            </w:r>
          </w:p>
        </w:tc>
        <w:tc>
          <w:tcPr>
            <w:tcW w:type="dxa" w:w="3360"/>
            <w:vAlign w:val="center"/>
          </w:tcPr>
          <w:p>
            <w:r>
              <w:rPr>
                <w:sz w:val="18"/>
              </w:rPr>
              <w:t>0</w:t>
            </w:r>
          </w:p>
        </w:tc>
        <w:tc>
          <w:tcPr>
            <w:tcW w:type="dxa" w:w="3360"/>
            <w:vAlign w:val="center"/>
          </w:tcPr>
          <w:p>
            <w:r>
              <w:rPr>
                <w:sz w:val="18"/>
              </w:rPr>
              <w:t>0.00%</w:t>
            </w:r>
          </w:p>
        </w:tc>
      </w:tr>
      <w:tr>
        <w:tc>
          <w:tcPr>
            <w:tcW w:type="dxa" w:w="3360"/>
            <w:vAlign w:val="center"/>
          </w:tcPr>
          <w:p>
            <w:r>
              <w:rPr>
                <w:sz w:val="18"/>
              </w:rPr>
              <w:t>Parch</w:t>
            </w:r>
          </w:p>
        </w:tc>
        <w:tc>
          <w:tcPr>
            <w:tcW w:type="dxa" w:w="3360"/>
            <w:vAlign w:val="center"/>
          </w:tcPr>
          <w:p>
            <w:r>
              <w:rPr>
                <w:sz w:val="18"/>
              </w:rPr>
              <w:t>0</w:t>
            </w:r>
          </w:p>
        </w:tc>
        <w:tc>
          <w:tcPr>
            <w:tcW w:type="dxa" w:w="3360"/>
            <w:vAlign w:val="center"/>
          </w:tcPr>
          <w:p>
            <w:r>
              <w:rPr>
                <w:sz w:val="18"/>
              </w:rPr>
              <w:t>0.00%</w:t>
            </w:r>
          </w:p>
        </w:tc>
      </w:tr>
      <w:tr>
        <w:tc>
          <w:tcPr>
            <w:tcW w:type="dxa" w:w="3360"/>
            <w:vAlign w:val="center"/>
          </w:tcPr>
          <w:p>
            <w:r>
              <w:rPr>
                <w:sz w:val="18"/>
              </w:rPr>
              <w:t>Ticket</w:t>
            </w:r>
          </w:p>
        </w:tc>
        <w:tc>
          <w:tcPr>
            <w:tcW w:type="dxa" w:w="3360"/>
            <w:vAlign w:val="center"/>
          </w:tcPr>
          <w:p>
            <w:r>
              <w:rPr>
                <w:sz w:val="18"/>
              </w:rPr>
              <w:t>0</w:t>
            </w:r>
          </w:p>
        </w:tc>
        <w:tc>
          <w:tcPr>
            <w:tcW w:type="dxa" w:w="3360"/>
            <w:vAlign w:val="center"/>
          </w:tcPr>
          <w:p>
            <w:r>
              <w:rPr>
                <w:sz w:val="18"/>
              </w:rPr>
              <w:t>0.00%</w:t>
            </w:r>
          </w:p>
        </w:tc>
      </w:tr>
      <w:tr>
        <w:tc>
          <w:tcPr>
            <w:tcW w:type="dxa" w:w="3360"/>
            <w:vAlign w:val="center"/>
          </w:tcPr>
          <w:p>
            <w:r>
              <w:rPr>
                <w:sz w:val="18"/>
              </w:rPr>
              <w:t>Fare</w:t>
            </w:r>
          </w:p>
        </w:tc>
        <w:tc>
          <w:tcPr>
            <w:tcW w:type="dxa" w:w="3360"/>
            <w:vAlign w:val="center"/>
          </w:tcPr>
          <w:p>
            <w:r>
              <w:rPr>
                <w:sz w:val="18"/>
              </w:rPr>
              <w:t>0</w:t>
            </w:r>
          </w:p>
        </w:tc>
        <w:tc>
          <w:tcPr>
            <w:tcW w:type="dxa" w:w="3360"/>
            <w:vAlign w:val="center"/>
          </w:tcPr>
          <w:p>
            <w:r>
              <w:rPr>
                <w:sz w:val="18"/>
              </w:rPr>
              <w:t>0.00%</w:t>
            </w:r>
          </w:p>
        </w:tc>
      </w:tr>
      <w:tr>
        <w:tc>
          <w:tcPr>
            <w:tcW w:type="dxa" w:w="3360"/>
            <w:vAlign w:val="center"/>
          </w:tcPr>
          <w:p>
            <w:r>
              <w:rPr>
                <w:sz w:val="18"/>
              </w:rPr>
              <w:t>Cabin</w:t>
            </w:r>
          </w:p>
        </w:tc>
        <w:tc>
          <w:tcPr>
            <w:tcW w:type="dxa" w:w="3360"/>
            <w:vAlign w:val="center"/>
          </w:tcPr>
          <w:p>
            <w:r>
              <w:rPr>
                <w:sz w:val="18"/>
              </w:rPr>
              <w:t>687</w:t>
            </w:r>
          </w:p>
        </w:tc>
        <w:tc>
          <w:tcPr>
            <w:tcW w:type="dxa" w:w="3360"/>
            <w:vAlign w:val="center"/>
          </w:tcPr>
          <w:p>
            <w:r>
              <w:rPr>
                <w:sz w:val="18"/>
              </w:rPr>
              <w:t>77.10%</w:t>
            </w:r>
          </w:p>
        </w:tc>
      </w:tr>
      <w:tr>
        <w:tc>
          <w:tcPr>
            <w:tcW w:type="dxa" w:w="3360"/>
            <w:vAlign w:val="center"/>
          </w:tcPr>
          <w:p>
            <w:r>
              <w:rPr>
                <w:sz w:val="18"/>
              </w:rPr>
              <w:t>Embarked</w:t>
            </w:r>
          </w:p>
        </w:tc>
        <w:tc>
          <w:tcPr>
            <w:tcW w:type="dxa" w:w="3360"/>
            <w:vAlign w:val="center"/>
          </w:tcPr>
          <w:p>
            <w:r>
              <w:rPr>
                <w:sz w:val="18"/>
              </w:rPr>
              <w:t>3</w:t>
            </w:r>
          </w:p>
        </w:tc>
        <w:tc>
          <w:tcPr>
            <w:tcW w:type="dxa" w:w="3360"/>
            <w:vAlign w:val="center"/>
          </w:tcPr>
          <w:p>
            <w:r>
              <w:rPr>
                <w:sz w:val="18"/>
              </w:rPr>
              <w:t>0.34%</w:t>
            </w:r>
          </w:p>
        </w:tc>
      </w:tr>
    </w:tbl>
    <w:p>
      <w:pPr>
        <w:widowControl/>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11"/>
                    <a:stretch>
                      <a:fillRect/>
                    </a:stretch>
                  </pic:blipFill>
                  <pic:spPr>
                    <a:xfrm>
                      <a:off x="0" y="0"/>
                      <a:ext cx="5303520" cy="3093720"/>
                    </a:xfrm>
                    <a:prstGeom prst="rect"/>
                  </pic:spPr>
                </pic:pic>
              </a:graphicData>
            </a:graphic>
          </wp:inline>
        </w:drawing>
      </w:r>
    </w:p>
    <w:p>
      <w:pPr>
        <w:widowControl/>
        <w:jc w:val="center"/>
      </w:pPr>
      <w:r>
        <w:rPr>
          <w:i/>
          <w:sz w:val="18"/>
        </w:rPr>
        <w:t>Figure 1. Missing-value percentages before cleaning</w:t>
      </w:r>
    </w:p>
    <w:p>
      <w:pPr>
        <w:widowControl/>
        <w:spacing w:after="120" w:line="259" w:lineRule="auto"/>
      </w:pPr>
      <w:r>
        <w:t>Age was imputed with the median, Embarked with its mode, and missing Sex values were labelled "Unknown". Missingness indicator variables were created before imputation. Because Cabin was highly incomplete, the original Cabin field was removed after creating a HasCabin indicator.</w:t>
      </w:r>
    </w:p>
    <w:p>
      <w:pPr>
        <w:pStyle w:val="Heading2"/>
        <w:widowControl/>
      </w:pPr>
      <w:r>
        <w:t>4.3 Feature engineering and transformations</w:t>
      </w:r>
    </w:p>
    <w:p>
      <w:pPr>
        <w:pStyle w:val="ListBullet"/>
        <w:widowControl/>
        <w:spacing w:after="60"/>
      </w:pPr>
      <w:r>
        <w:t>Extracted passenger Title from Name and grouped uncommon titles as Other.</w:t>
      </w:r>
    </w:p>
    <w:p>
      <w:pPr>
        <w:pStyle w:val="ListBullet"/>
        <w:widowControl/>
        <w:spacing w:after="60"/>
      </w:pPr>
      <w:r>
        <w:t>Removed Name, Ticket, and Cabin after extracting useful information.</w:t>
      </w:r>
    </w:p>
    <w:p>
      <w:pPr>
        <w:pStyle w:val="ListBullet"/>
        <w:widowControl/>
        <w:spacing w:after="60"/>
      </w:pPr>
      <w:r>
        <w:t>Converted Survived, Pclass, Sex, Embarked, and Title to factors.</w:t>
      </w:r>
    </w:p>
    <w:p>
      <w:pPr>
        <w:pStyle w:val="ListBullet"/>
        <w:widowControl/>
        <w:spacing w:after="60"/>
      </w:pPr>
      <w:r>
        <w:t>Created indicator columns for Sex, Embarked, and Title.</w:t>
      </w:r>
    </w:p>
    <w:p>
      <w:pPr>
        <w:pStyle w:val="ListBullet"/>
        <w:widowControl/>
        <w:spacing w:after="60"/>
      </w:pPr>
      <w:r>
        <w:t>Created Pclass_enc as a numeric class encoding.</w:t>
      </w:r>
    </w:p>
    <w:p>
      <w:pPr>
        <w:pStyle w:val="ListBullet"/>
        <w:widowControl/>
        <w:spacing w:after="60"/>
      </w:pPr>
      <w:r>
        <w:t>Created capped, min-max scaled, and z-score versions of Age and Fare while preserving original values.</w:t>
      </w:r>
    </w:p>
    <w:p>
      <w:pPr>
        <w:pStyle w:val="Heading1"/>
        <w:widowControl/>
      </w:pPr>
      <w:r>
        <w:t>5. Outlier Assessment</w:t>
      </w:r>
    </w:p>
    <w:p>
      <w:pPr>
        <w:widowControl/>
        <w:spacing w:after="120" w:line="259" w:lineRule="auto"/>
      </w:pPr>
      <w:r>
        <w:t>Potential outliers were identified using the 1.5 × IQR rule. The analysis flagged 66 Age values, 116 Fare values, 46 SibSp values, and 213 Parch values relative to their calculated fences. For Age and Fare, capped versions were created as optional transformed features rather than overwriting the original observations.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rPr>
                <w:b/>
                <w:sz w:val="18"/>
              </w:rPr>
              <w:t>variable</w:t>
            </w:r>
          </w:p>
        </w:tc>
        <w:tc>
          <w:tcPr>
            <w:tcW w:type="dxa" w:w="2520"/>
          </w:tcPr>
          <w:p>
            <w:r>
              <w:rPr>
                <w:b/>
                <w:sz w:val="18"/>
              </w:rPr>
              <w:t>lower</w:t>
            </w:r>
          </w:p>
        </w:tc>
        <w:tc>
          <w:tcPr>
            <w:tcW w:type="dxa" w:w="2520"/>
          </w:tcPr>
          <w:p>
            <w:r>
              <w:rPr>
                <w:b/>
                <w:sz w:val="18"/>
              </w:rPr>
              <w:t>upper</w:t>
            </w:r>
          </w:p>
        </w:tc>
        <w:tc>
          <w:tcPr>
            <w:tcW w:type="dxa" w:w="2520"/>
          </w:tcPr>
          <w:p>
            <w:r>
              <w:rPr>
                <w:b/>
                <w:sz w:val="18"/>
              </w:rPr>
              <w:t>count</w:t>
            </w:r>
          </w:p>
        </w:tc>
      </w:tr>
      <w:tr>
        <w:tc>
          <w:tcPr>
            <w:tcW w:type="dxa" w:w="2520"/>
            <w:vAlign w:val="center"/>
          </w:tcPr>
          <w:p>
            <w:r>
              <w:rPr>
                <w:sz w:val="18"/>
              </w:rPr>
              <w:t>Age</w:t>
            </w:r>
          </w:p>
        </w:tc>
        <w:tc>
          <w:tcPr>
            <w:tcW w:type="dxa" w:w="2520"/>
            <w:vAlign w:val="center"/>
          </w:tcPr>
          <w:p>
            <w:r>
              <w:rPr>
                <w:sz w:val="18"/>
              </w:rPr>
              <w:t>2.50</w:t>
            </w:r>
          </w:p>
        </w:tc>
        <w:tc>
          <w:tcPr>
            <w:tcW w:type="dxa" w:w="2520"/>
            <w:vAlign w:val="center"/>
          </w:tcPr>
          <w:p>
            <w:r>
              <w:rPr>
                <w:sz w:val="18"/>
              </w:rPr>
              <w:t>54.50</w:t>
            </w:r>
          </w:p>
        </w:tc>
        <w:tc>
          <w:tcPr>
            <w:tcW w:type="dxa" w:w="2520"/>
            <w:vAlign w:val="center"/>
          </w:tcPr>
          <w:p>
            <w:r>
              <w:rPr>
                <w:sz w:val="18"/>
              </w:rPr>
              <w:t>66</w:t>
            </w:r>
          </w:p>
        </w:tc>
      </w:tr>
      <w:tr>
        <w:tc>
          <w:tcPr>
            <w:tcW w:type="dxa" w:w="2520"/>
            <w:vAlign w:val="center"/>
          </w:tcPr>
          <w:p>
            <w:r>
              <w:rPr>
                <w:sz w:val="18"/>
              </w:rPr>
              <w:t>Fare</w:t>
            </w:r>
          </w:p>
        </w:tc>
        <w:tc>
          <w:tcPr>
            <w:tcW w:type="dxa" w:w="2520"/>
            <w:vAlign w:val="center"/>
          </w:tcPr>
          <w:p>
            <w:r>
              <w:rPr>
                <w:sz w:val="18"/>
              </w:rPr>
              <w:t>-26.72</w:t>
            </w:r>
          </w:p>
        </w:tc>
        <w:tc>
          <w:tcPr>
            <w:tcW w:type="dxa" w:w="2520"/>
            <w:vAlign w:val="center"/>
          </w:tcPr>
          <w:p>
            <w:r>
              <w:rPr>
                <w:sz w:val="18"/>
              </w:rPr>
              <w:t>65.63</w:t>
            </w:r>
          </w:p>
        </w:tc>
        <w:tc>
          <w:tcPr>
            <w:tcW w:type="dxa" w:w="2520"/>
            <w:vAlign w:val="center"/>
          </w:tcPr>
          <w:p>
            <w:r>
              <w:rPr>
                <w:sz w:val="18"/>
              </w:rPr>
              <w:t>116</w:t>
            </w:r>
          </w:p>
        </w:tc>
      </w:tr>
      <w:tr>
        <w:tc>
          <w:tcPr>
            <w:tcW w:type="dxa" w:w="2520"/>
            <w:vAlign w:val="center"/>
          </w:tcPr>
          <w:p>
            <w:r>
              <w:rPr>
                <w:sz w:val="18"/>
              </w:rPr>
              <w:t>SibSp</w:t>
            </w:r>
          </w:p>
        </w:tc>
        <w:tc>
          <w:tcPr>
            <w:tcW w:type="dxa" w:w="2520"/>
            <w:vAlign w:val="center"/>
          </w:tcPr>
          <w:p>
            <w:r>
              <w:rPr>
                <w:sz w:val="18"/>
              </w:rPr>
              <w:t>-1.50</w:t>
            </w:r>
          </w:p>
        </w:tc>
        <w:tc>
          <w:tcPr>
            <w:tcW w:type="dxa" w:w="2520"/>
            <w:vAlign w:val="center"/>
          </w:tcPr>
          <w:p>
            <w:r>
              <w:rPr>
                <w:sz w:val="18"/>
              </w:rPr>
              <w:t>2.50</w:t>
            </w:r>
          </w:p>
        </w:tc>
        <w:tc>
          <w:tcPr>
            <w:tcW w:type="dxa" w:w="2520"/>
            <w:vAlign w:val="center"/>
          </w:tcPr>
          <w:p>
            <w:r>
              <w:rPr>
                <w:sz w:val="18"/>
              </w:rPr>
              <w:t>46</w:t>
            </w:r>
          </w:p>
        </w:tc>
      </w:tr>
      <w:tr>
        <w:tc>
          <w:tcPr>
            <w:tcW w:type="dxa" w:w="2520"/>
            <w:vAlign w:val="center"/>
          </w:tcPr>
          <w:p>
            <w:r>
              <w:rPr>
                <w:sz w:val="18"/>
              </w:rPr>
              <w:t>Parch</w:t>
            </w:r>
          </w:p>
        </w:tc>
        <w:tc>
          <w:tcPr>
            <w:tcW w:type="dxa" w:w="2520"/>
            <w:vAlign w:val="center"/>
          </w:tcPr>
          <w:p>
            <w:r>
              <w:rPr>
                <w:sz w:val="18"/>
              </w:rPr>
              <w:t>0.00</w:t>
            </w:r>
          </w:p>
        </w:tc>
        <w:tc>
          <w:tcPr>
            <w:tcW w:type="dxa" w:w="2520"/>
            <w:vAlign w:val="center"/>
          </w:tcPr>
          <w:p>
            <w:r>
              <w:rPr>
                <w:sz w:val="18"/>
              </w:rPr>
              <w:t>0.00</w:t>
            </w:r>
          </w:p>
        </w:tc>
        <w:tc>
          <w:tcPr>
            <w:tcW w:type="dxa" w:w="2520"/>
            <w:vAlign w:val="center"/>
          </w:tcPr>
          <w:p>
            <w:r>
              <w:rPr>
                <w:sz w:val="18"/>
              </w:rPr>
              <w:t>213</w:t>
            </w:r>
          </w:p>
        </w:tc>
      </w:tr>
    </w:tbl>
    <w:p>
      <w:pPr>
        <w:widowControl/>
        <w:jc w:val="center"/>
      </w:pPr>
      <w:r>
        <w:drawing>
          <wp:inline xmlns:a="http://schemas.openxmlformats.org/drawingml/2006/main" xmlns:pic="http://schemas.openxmlformats.org/drawingml/2006/picture">
            <wp:extent cx="5394960" cy="3596640"/>
            <wp:docPr id="2" name="Picture 2"/>
            <wp:cNvGraphicFramePr>
              <a:graphicFrameLocks noChangeAspect="1"/>
            </wp:cNvGraphicFramePr>
            <a:graphic>
              <a:graphicData uri="http://schemas.openxmlformats.org/drawingml/2006/picture">
                <pic:pic>
                  <pic:nvPicPr>
                    <pic:cNvPr id="0" name="02_outliers.png"/>
                    <pic:cNvPicPr/>
                  </pic:nvPicPr>
                  <pic:blipFill>
                    <a:blip r:embed="rId12"/>
                    <a:stretch>
                      <a:fillRect/>
                    </a:stretch>
                  </pic:blipFill>
                  <pic:spPr>
                    <a:xfrm>
                      <a:off x="0" y="0"/>
                      <a:ext cx="5394960" cy="3596640"/>
                    </a:xfrm>
                    <a:prstGeom prst="rect"/>
                  </pic:spPr>
                </pic:pic>
              </a:graphicData>
            </a:graphic>
          </wp:inline>
        </w:drawing>
      </w:r>
    </w:p>
    <w:p>
      <w:pPr>
        <w:widowControl/>
        <w:jc w:val="center"/>
      </w:pPr>
      <w:r>
        <w:rPr>
          <w:i/>
          <w:sz w:val="18"/>
        </w:rPr>
        <w:t>Figure 2. Original and capped Age/Fare distributions</w:t>
      </w:r>
    </w:p>
    <w:p>
      <w:pPr>
        <w:pStyle w:val="Heading1"/>
        <w:widowControl/>
      </w:pPr>
      <w:r>
        <w:t>6. Descriptive Statistics</w:t>
      </w:r>
    </w:p>
    <w:p>
      <w:pPr>
        <w:widowControl/>
        <w:spacing w:after="120" w:line="259" w:lineRule="auto"/>
      </w:pPr>
      <w:r>
        <w:t>The average passenger age was approximately 29.36 years, with a median of 28 years. Average fare was 32.20, although the much lower median of 14.45 indicates a right-skewed fare distribution with some very high fares.</w:t>
      </w:r>
    </w:p>
    <w:tbl>
      <w:tblPr>
        <w:tblStyle w:val="LightShading-Accent1"/>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sz w:val="18"/>
              </w:rPr>
              <w:t>variable</w:t>
            </w:r>
          </w:p>
        </w:tc>
        <w:tc>
          <w:tcPr>
            <w:tcW w:type="dxa" w:w="1680"/>
          </w:tcPr>
          <w:p>
            <w:r>
              <w:rPr>
                <w:b/>
                <w:sz w:val="18"/>
              </w:rPr>
              <w:t>mean</w:t>
            </w:r>
          </w:p>
        </w:tc>
        <w:tc>
          <w:tcPr>
            <w:tcW w:type="dxa" w:w="1680"/>
          </w:tcPr>
          <w:p>
            <w:r>
              <w:rPr>
                <w:b/>
                <w:sz w:val="18"/>
              </w:rPr>
              <w:t>median</w:t>
            </w:r>
          </w:p>
        </w:tc>
        <w:tc>
          <w:tcPr>
            <w:tcW w:type="dxa" w:w="1680"/>
          </w:tcPr>
          <w:p>
            <w:r>
              <w:rPr>
                <w:b/>
                <w:sz w:val="18"/>
              </w:rPr>
              <w:t>sd</w:t>
            </w:r>
          </w:p>
        </w:tc>
        <w:tc>
          <w:tcPr>
            <w:tcW w:type="dxa" w:w="1680"/>
          </w:tcPr>
          <w:p>
            <w:r>
              <w:rPr>
                <w:b/>
                <w:sz w:val="18"/>
              </w:rPr>
              <w:t>min</w:t>
            </w:r>
          </w:p>
        </w:tc>
        <w:tc>
          <w:tcPr>
            <w:tcW w:type="dxa" w:w="1680"/>
          </w:tcPr>
          <w:p>
            <w:r>
              <w:rPr>
                <w:b/>
                <w:sz w:val="18"/>
              </w:rPr>
              <w:t>max</w:t>
            </w:r>
          </w:p>
        </w:tc>
      </w:tr>
      <w:tr>
        <w:tc>
          <w:tcPr>
            <w:tcW w:type="dxa" w:w="1680"/>
            <w:vAlign w:val="center"/>
          </w:tcPr>
          <w:p>
            <w:r>
              <w:rPr>
                <w:sz w:val="18"/>
              </w:rPr>
              <w:t>Age</w:t>
            </w:r>
          </w:p>
        </w:tc>
        <w:tc>
          <w:tcPr>
            <w:tcW w:type="dxa" w:w="1680"/>
            <w:vAlign w:val="center"/>
          </w:tcPr>
          <w:p>
            <w:r>
              <w:rPr>
                <w:sz w:val="18"/>
              </w:rPr>
              <w:t>29.36</w:t>
            </w:r>
          </w:p>
        </w:tc>
        <w:tc>
          <w:tcPr>
            <w:tcW w:type="dxa" w:w="1680"/>
            <w:vAlign w:val="center"/>
          </w:tcPr>
          <w:p>
            <w:r>
              <w:rPr>
                <w:sz w:val="18"/>
              </w:rPr>
              <w:t>28.00</w:t>
            </w:r>
          </w:p>
        </w:tc>
        <w:tc>
          <w:tcPr>
            <w:tcW w:type="dxa" w:w="1680"/>
            <w:vAlign w:val="center"/>
          </w:tcPr>
          <w:p>
            <w:r>
              <w:rPr>
                <w:sz w:val="18"/>
              </w:rPr>
              <w:t>13.02</w:t>
            </w:r>
          </w:p>
        </w:tc>
        <w:tc>
          <w:tcPr>
            <w:tcW w:type="dxa" w:w="1680"/>
            <w:vAlign w:val="center"/>
          </w:tcPr>
          <w:p>
            <w:r>
              <w:rPr>
                <w:sz w:val="18"/>
              </w:rPr>
              <w:t>0.42</w:t>
            </w:r>
          </w:p>
        </w:tc>
        <w:tc>
          <w:tcPr>
            <w:tcW w:type="dxa" w:w="1680"/>
            <w:vAlign w:val="center"/>
          </w:tcPr>
          <w:p>
            <w:r>
              <w:rPr>
                <w:sz w:val="18"/>
              </w:rPr>
              <w:t>80.00</w:t>
            </w:r>
          </w:p>
        </w:tc>
      </w:tr>
      <w:tr>
        <w:tc>
          <w:tcPr>
            <w:tcW w:type="dxa" w:w="1680"/>
            <w:vAlign w:val="center"/>
          </w:tcPr>
          <w:p>
            <w:r>
              <w:rPr>
                <w:sz w:val="18"/>
              </w:rPr>
              <w:t>Fare</w:t>
            </w:r>
          </w:p>
        </w:tc>
        <w:tc>
          <w:tcPr>
            <w:tcW w:type="dxa" w:w="1680"/>
            <w:vAlign w:val="center"/>
          </w:tcPr>
          <w:p>
            <w:r>
              <w:rPr>
                <w:sz w:val="18"/>
              </w:rPr>
              <w:t>32.20</w:t>
            </w:r>
          </w:p>
        </w:tc>
        <w:tc>
          <w:tcPr>
            <w:tcW w:type="dxa" w:w="1680"/>
            <w:vAlign w:val="center"/>
          </w:tcPr>
          <w:p>
            <w:r>
              <w:rPr>
                <w:sz w:val="18"/>
              </w:rPr>
              <w:t>14.45</w:t>
            </w:r>
          </w:p>
        </w:tc>
        <w:tc>
          <w:tcPr>
            <w:tcW w:type="dxa" w:w="1680"/>
            <w:vAlign w:val="center"/>
          </w:tcPr>
          <w:p>
            <w:r>
              <w:rPr>
                <w:sz w:val="18"/>
              </w:rPr>
              <w:t>49.69</w:t>
            </w:r>
          </w:p>
        </w:tc>
        <w:tc>
          <w:tcPr>
            <w:tcW w:type="dxa" w:w="1680"/>
            <w:vAlign w:val="center"/>
          </w:tcPr>
          <w:p>
            <w:r>
              <w:rPr>
                <w:sz w:val="18"/>
              </w:rPr>
              <w:t>0.00</w:t>
            </w:r>
          </w:p>
        </w:tc>
        <w:tc>
          <w:tcPr>
            <w:tcW w:type="dxa" w:w="1680"/>
            <w:vAlign w:val="center"/>
          </w:tcPr>
          <w:p>
            <w:r>
              <w:rPr>
                <w:sz w:val="18"/>
              </w:rPr>
              <w:t>512.33</w:t>
            </w:r>
          </w:p>
        </w:tc>
      </w:tr>
      <w:tr>
        <w:tc>
          <w:tcPr>
            <w:tcW w:type="dxa" w:w="1680"/>
            <w:vAlign w:val="center"/>
          </w:tcPr>
          <w:p>
            <w:r>
              <w:rPr>
                <w:sz w:val="18"/>
              </w:rPr>
              <w:t>SibSp</w:t>
            </w:r>
          </w:p>
        </w:tc>
        <w:tc>
          <w:tcPr>
            <w:tcW w:type="dxa" w:w="1680"/>
            <w:vAlign w:val="center"/>
          </w:tcPr>
          <w:p>
            <w:r>
              <w:rPr>
                <w:sz w:val="18"/>
              </w:rPr>
              <w:t>0.52</w:t>
            </w:r>
          </w:p>
        </w:tc>
        <w:tc>
          <w:tcPr>
            <w:tcW w:type="dxa" w:w="1680"/>
            <w:vAlign w:val="center"/>
          </w:tcPr>
          <w:p>
            <w:r>
              <w:rPr>
                <w:sz w:val="18"/>
              </w:rPr>
              <w:t>0.00</w:t>
            </w:r>
          </w:p>
        </w:tc>
        <w:tc>
          <w:tcPr>
            <w:tcW w:type="dxa" w:w="1680"/>
            <w:vAlign w:val="center"/>
          </w:tcPr>
          <w:p>
            <w:r>
              <w:rPr>
                <w:sz w:val="18"/>
              </w:rPr>
              <w:t>1.10</w:t>
            </w:r>
          </w:p>
        </w:tc>
        <w:tc>
          <w:tcPr>
            <w:tcW w:type="dxa" w:w="1680"/>
            <w:vAlign w:val="center"/>
          </w:tcPr>
          <w:p>
            <w:r>
              <w:rPr>
                <w:sz w:val="18"/>
              </w:rPr>
              <w:t>0.00</w:t>
            </w:r>
          </w:p>
        </w:tc>
        <w:tc>
          <w:tcPr>
            <w:tcW w:type="dxa" w:w="1680"/>
            <w:vAlign w:val="center"/>
          </w:tcPr>
          <w:p>
            <w:r>
              <w:rPr>
                <w:sz w:val="18"/>
              </w:rPr>
              <w:t>8.00</w:t>
            </w:r>
          </w:p>
        </w:tc>
      </w:tr>
      <w:tr>
        <w:tc>
          <w:tcPr>
            <w:tcW w:type="dxa" w:w="1680"/>
            <w:vAlign w:val="center"/>
          </w:tcPr>
          <w:p>
            <w:r>
              <w:rPr>
                <w:sz w:val="18"/>
              </w:rPr>
              <w:t>Parch</w:t>
            </w:r>
          </w:p>
        </w:tc>
        <w:tc>
          <w:tcPr>
            <w:tcW w:type="dxa" w:w="1680"/>
            <w:vAlign w:val="center"/>
          </w:tcPr>
          <w:p>
            <w:r>
              <w:rPr>
                <w:sz w:val="18"/>
              </w:rPr>
              <w:t>0.38</w:t>
            </w:r>
          </w:p>
        </w:tc>
        <w:tc>
          <w:tcPr>
            <w:tcW w:type="dxa" w:w="1680"/>
            <w:vAlign w:val="center"/>
          </w:tcPr>
          <w:p>
            <w:r>
              <w:rPr>
                <w:sz w:val="18"/>
              </w:rPr>
              <w:t>0.00</w:t>
            </w:r>
          </w:p>
        </w:tc>
        <w:tc>
          <w:tcPr>
            <w:tcW w:type="dxa" w:w="1680"/>
            <w:vAlign w:val="center"/>
          </w:tcPr>
          <w:p>
            <w:r>
              <w:rPr>
                <w:sz w:val="18"/>
              </w:rPr>
              <w:t>0.81</w:t>
            </w:r>
          </w:p>
        </w:tc>
        <w:tc>
          <w:tcPr>
            <w:tcW w:type="dxa" w:w="1680"/>
            <w:vAlign w:val="center"/>
          </w:tcPr>
          <w:p>
            <w:r>
              <w:rPr>
                <w:sz w:val="18"/>
              </w:rPr>
              <w:t>0.00</w:t>
            </w:r>
          </w:p>
        </w:tc>
        <w:tc>
          <w:tcPr>
            <w:tcW w:type="dxa" w:w="1680"/>
            <w:vAlign w:val="center"/>
          </w:tcPr>
          <w:p>
            <w:r>
              <w:rPr>
                <w:sz w:val="18"/>
              </w:rPr>
              <w:t>6.00</w:t>
            </w:r>
          </w:p>
        </w:tc>
      </w:tr>
    </w:tbl>
    <w:p>
      <w:pPr>
        <w:widowControl/>
        <w:jc w:val="center"/>
      </w:pPr>
      <w:r>
        <w:drawing>
          <wp:inline xmlns:a="http://schemas.openxmlformats.org/drawingml/2006/main" xmlns:pic="http://schemas.openxmlformats.org/drawingml/2006/picture">
            <wp:extent cx="5303520" cy="3374967"/>
            <wp:docPr id="3" name="Picture 3"/>
            <wp:cNvGraphicFramePr>
              <a:graphicFrameLocks noChangeAspect="1"/>
            </wp:cNvGraphicFramePr>
            <a:graphic>
              <a:graphicData uri="http://schemas.openxmlformats.org/drawingml/2006/picture">
                <pic:pic>
                  <pic:nvPicPr>
                    <pic:cNvPr id="0" name="age_distribution.png"/>
                    <pic:cNvPicPr/>
                  </pic:nvPicPr>
                  <pic:blipFill>
                    <a:blip r:embed="rId13"/>
                    <a:stretch>
                      <a:fillRect/>
                    </a:stretch>
                  </pic:blipFill>
                  <pic:spPr>
                    <a:xfrm>
                      <a:off x="0" y="0"/>
                      <a:ext cx="5303520" cy="3374967"/>
                    </a:xfrm>
                    <a:prstGeom prst="rect"/>
                  </pic:spPr>
                </pic:pic>
              </a:graphicData>
            </a:graphic>
          </wp:inline>
        </w:drawing>
      </w:r>
    </w:p>
    <w:p>
      <w:pPr>
        <w:widowControl/>
        <w:jc w:val="center"/>
      </w:pPr>
      <w:r>
        <w:rPr>
          <w:i/>
          <w:sz w:val="18"/>
        </w:rPr>
        <w:t>Figure 3. Age distribution after median imputation</w:t>
      </w:r>
    </w:p>
    <w:p>
      <w:pPr>
        <w:pStyle w:val="Heading1"/>
        <w:widowControl/>
      </w:pPr>
      <w:r>
        <w:t>7. Survival Analysis</w:t>
      </w:r>
    </w:p>
    <w:p>
      <w:pPr>
        <w:pStyle w:val="Heading2"/>
        <w:widowControl/>
      </w:pPr>
      <w:r>
        <w:t>7.1 Survival by sex</w:t>
      </w:r>
    </w:p>
    <w:p>
      <w:pPr>
        <w:widowControl/>
        <w:spacing w:after="120" w:line="259" w:lineRule="auto"/>
      </w:pPr>
      <w:r>
        <w:t>Sex showed the strongest visible difference among the grouped survival summaries. Female passengers had a 74.20% survival rate, compared with 18.75% for male passengers. One record with unknown sex survived; because this group contains only one passenger, it should not be interpreted as a meaningful population pattern.</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rPr>
                <w:b/>
                <w:sz w:val="18"/>
              </w:rPr>
              <w:t>group</w:t>
            </w:r>
          </w:p>
        </w:tc>
        <w:tc>
          <w:tcPr>
            <w:tcW w:type="dxa" w:w="2520"/>
          </w:tcPr>
          <w:p>
            <w:r>
              <w:rPr>
                <w:b/>
                <w:sz w:val="18"/>
              </w:rPr>
              <w:t>n</w:t>
            </w:r>
          </w:p>
        </w:tc>
        <w:tc>
          <w:tcPr>
            <w:tcW w:type="dxa" w:w="2520"/>
          </w:tcPr>
          <w:p>
            <w:r>
              <w:rPr>
                <w:b/>
                <w:sz w:val="18"/>
              </w:rPr>
              <w:t>survived</w:t>
            </w:r>
          </w:p>
        </w:tc>
        <w:tc>
          <w:tcPr>
            <w:tcW w:type="dxa" w:w="2520"/>
          </w:tcPr>
          <w:p>
            <w:r>
              <w:rPr>
                <w:b/>
                <w:sz w:val="18"/>
              </w:rPr>
              <w:t>percent</w:t>
            </w:r>
          </w:p>
        </w:tc>
      </w:tr>
      <w:tr>
        <w:tc>
          <w:tcPr>
            <w:tcW w:type="dxa" w:w="2520"/>
            <w:vAlign w:val="center"/>
          </w:tcPr>
          <w:p>
            <w:r>
              <w:rPr>
                <w:sz w:val="18"/>
              </w:rPr>
              <w:t>female</w:t>
            </w:r>
          </w:p>
        </w:tc>
        <w:tc>
          <w:tcPr>
            <w:tcW w:type="dxa" w:w="2520"/>
            <w:vAlign w:val="center"/>
          </w:tcPr>
          <w:p>
            <w:r>
              <w:rPr>
                <w:sz w:val="18"/>
              </w:rPr>
              <w:t>314</w:t>
            </w:r>
          </w:p>
        </w:tc>
        <w:tc>
          <w:tcPr>
            <w:tcW w:type="dxa" w:w="2520"/>
            <w:vAlign w:val="center"/>
          </w:tcPr>
          <w:p>
            <w:r>
              <w:rPr>
                <w:sz w:val="18"/>
              </w:rPr>
              <w:t>233</w:t>
            </w:r>
          </w:p>
        </w:tc>
        <w:tc>
          <w:tcPr>
            <w:tcW w:type="dxa" w:w="2520"/>
            <w:vAlign w:val="center"/>
          </w:tcPr>
          <w:p>
            <w:r>
              <w:rPr>
                <w:sz w:val="18"/>
              </w:rPr>
              <w:t>74.20%</w:t>
            </w:r>
          </w:p>
        </w:tc>
      </w:tr>
      <w:tr>
        <w:tc>
          <w:tcPr>
            <w:tcW w:type="dxa" w:w="2520"/>
            <w:vAlign w:val="center"/>
          </w:tcPr>
          <w:p>
            <w:r>
              <w:rPr>
                <w:sz w:val="18"/>
              </w:rPr>
              <w:t>male</w:t>
            </w:r>
          </w:p>
        </w:tc>
        <w:tc>
          <w:tcPr>
            <w:tcW w:type="dxa" w:w="2520"/>
            <w:vAlign w:val="center"/>
          </w:tcPr>
          <w:p>
            <w:r>
              <w:rPr>
                <w:sz w:val="18"/>
              </w:rPr>
              <w:t>576</w:t>
            </w:r>
          </w:p>
        </w:tc>
        <w:tc>
          <w:tcPr>
            <w:tcW w:type="dxa" w:w="2520"/>
            <w:vAlign w:val="center"/>
          </w:tcPr>
          <w:p>
            <w:r>
              <w:rPr>
                <w:sz w:val="18"/>
              </w:rPr>
              <w:t>108</w:t>
            </w:r>
          </w:p>
        </w:tc>
        <w:tc>
          <w:tcPr>
            <w:tcW w:type="dxa" w:w="2520"/>
            <w:vAlign w:val="center"/>
          </w:tcPr>
          <w:p>
            <w:r>
              <w:rPr>
                <w:sz w:val="18"/>
              </w:rPr>
              <w:t>18.75%</w:t>
            </w:r>
          </w:p>
        </w:tc>
      </w:tr>
      <w:tr>
        <w:tc>
          <w:tcPr>
            <w:tcW w:type="dxa" w:w="2520"/>
            <w:vAlign w:val="center"/>
          </w:tcPr>
          <w:p>
            <w:r>
              <w:rPr>
                <w:sz w:val="18"/>
              </w:rPr>
              <w:t>Unknown</w:t>
            </w:r>
          </w:p>
        </w:tc>
        <w:tc>
          <w:tcPr>
            <w:tcW w:type="dxa" w:w="2520"/>
            <w:vAlign w:val="center"/>
          </w:tcPr>
          <w:p>
            <w:r>
              <w:rPr>
                <w:sz w:val="18"/>
              </w:rPr>
              <w:t>1</w:t>
            </w:r>
          </w:p>
        </w:tc>
        <w:tc>
          <w:tcPr>
            <w:tcW w:type="dxa" w:w="2520"/>
            <w:vAlign w:val="center"/>
          </w:tcPr>
          <w:p>
            <w:r>
              <w:rPr>
                <w:sz w:val="18"/>
              </w:rPr>
              <w:t>1</w:t>
            </w:r>
          </w:p>
        </w:tc>
        <w:tc>
          <w:tcPr>
            <w:tcW w:type="dxa" w:w="2520"/>
            <w:vAlign w:val="center"/>
          </w:tcPr>
          <w:p>
            <w:r>
              <w:rPr>
                <w:sz w:val="18"/>
              </w:rPr>
              <w:t>100.00%</w:t>
            </w:r>
          </w:p>
        </w:tc>
      </w:tr>
    </w:tbl>
    <w:p>
      <w:pPr>
        <w:widowControl/>
        <w:jc w:val="center"/>
      </w:pPr>
      <w:r>
        <w:drawing>
          <wp:inline xmlns:a="http://schemas.openxmlformats.org/drawingml/2006/main" xmlns:pic="http://schemas.openxmlformats.org/drawingml/2006/picture">
            <wp:extent cx="5212080" cy="3316778"/>
            <wp:docPr id="4" name="Picture 4"/>
            <wp:cNvGraphicFramePr>
              <a:graphicFrameLocks noChangeAspect="1"/>
            </wp:cNvGraphicFramePr>
            <a:graphic>
              <a:graphicData uri="http://schemas.openxmlformats.org/drawingml/2006/picture">
                <pic:pic>
                  <pic:nvPicPr>
                    <pic:cNvPr id="0" name="survival_by_Sex.png"/>
                    <pic:cNvPicPr/>
                  </pic:nvPicPr>
                  <pic:blipFill>
                    <a:blip r:embed="rId14"/>
                    <a:stretch>
                      <a:fillRect/>
                    </a:stretch>
                  </pic:blipFill>
                  <pic:spPr>
                    <a:xfrm>
                      <a:off x="0" y="0"/>
                      <a:ext cx="5212080" cy="3316778"/>
                    </a:xfrm>
                    <a:prstGeom prst="rect"/>
                  </pic:spPr>
                </pic:pic>
              </a:graphicData>
            </a:graphic>
          </wp:inline>
        </w:drawing>
      </w:r>
    </w:p>
    <w:p>
      <w:pPr>
        <w:widowControl/>
        <w:jc w:val="center"/>
      </w:pPr>
      <w:r>
        <w:rPr>
          <w:i/>
          <w:sz w:val="18"/>
        </w:rPr>
        <w:t>Figure 4. Survival percentage by sex</w:t>
      </w:r>
    </w:p>
    <w:p>
      <w:pPr>
        <w:pStyle w:val="Heading2"/>
        <w:widowControl/>
      </w:pPr>
      <w:r>
        <w:t>7.2 Survival by passenger class</w:t>
      </w:r>
    </w:p>
    <w:p>
      <w:pPr>
        <w:widowControl/>
        <w:spacing w:after="120" w:line="259" w:lineRule="auto"/>
      </w:pPr>
      <w:r>
        <w:t>Passenger class was also strongly associated with survival in this preliminary analysis. First-class passengers had a 62.96% survival rate, second-class passengers 47.28%, and third-class passengers 24.24%.</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rPr>
                <w:b/>
                <w:sz w:val="18"/>
              </w:rPr>
              <w:t>group</w:t>
            </w:r>
          </w:p>
        </w:tc>
        <w:tc>
          <w:tcPr>
            <w:tcW w:type="dxa" w:w="2520"/>
          </w:tcPr>
          <w:p>
            <w:r>
              <w:rPr>
                <w:b/>
                <w:sz w:val="18"/>
              </w:rPr>
              <w:t>n</w:t>
            </w:r>
          </w:p>
        </w:tc>
        <w:tc>
          <w:tcPr>
            <w:tcW w:type="dxa" w:w="2520"/>
          </w:tcPr>
          <w:p>
            <w:r>
              <w:rPr>
                <w:b/>
                <w:sz w:val="18"/>
              </w:rPr>
              <w:t>survived</w:t>
            </w:r>
          </w:p>
        </w:tc>
        <w:tc>
          <w:tcPr>
            <w:tcW w:type="dxa" w:w="2520"/>
          </w:tcPr>
          <w:p>
            <w:r>
              <w:rPr>
                <w:b/>
                <w:sz w:val="18"/>
              </w:rPr>
              <w:t>percent</w:t>
            </w:r>
          </w:p>
        </w:tc>
      </w:tr>
      <w:tr>
        <w:tc>
          <w:tcPr>
            <w:tcW w:type="dxa" w:w="2520"/>
            <w:vAlign w:val="center"/>
          </w:tcPr>
          <w:p>
            <w:r>
              <w:rPr>
                <w:sz w:val="18"/>
              </w:rPr>
              <w:t>1</w:t>
            </w:r>
          </w:p>
        </w:tc>
        <w:tc>
          <w:tcPr>
            <w:tcW w:type="dxa" w:w="2520"/>
            <w:vAlign w:val="center"/>
          </w:tcPr>
          <w:p>
            <w:r>
              <w:rPr>
                <w:sz w:val="18"/>
              </w:rPr>
              <w:t>216</w:t>
            </w:r>
          </w:p>
        </w:tc>
        <w:tc>
          <w:tcPr>
            <w:tcW w:type="dxa" w:w="2520"/>
            <w:vAlign w:val="center"/>
          </w:tcPr>
          <w:p>
            <w:r>
              <w:rPr>
                <w:sz w:val="18"/>
              </w:rPr>
              <w:t>136</w:t>
            </w:r>
          </w:p>
        </w:tc>
        <w:tc>
          <w:tcPr>
            <w:tcW w:type="dxa" w:w="2520"/>
            <w:vAlign w:val="center"/>
          </w:tcPr>
          <w:p>
            <w:r>
              <w:rPr>
                <w:sz w:val="18"/>
              </w:rPr>
              <w:t>62.96%</w:t>
            </w:r>
          </w:p>
        </w:tc>
      </w:tr>
      <w:tr>
        <w:tc>
          <w:tcPr>
            <w:tcW w:type="dxa" w:w="2520"/>
            <w:vAlign w:val="center"/>
          </w:tcPr>
          <w:p>
            <w:r>
              <w:rPr>
                <w:sz w:val="18"/>
              </w:rPr>
              <w:t>2</w:t>
            </w:r>
          </w:p>
        </w:tc>
        <w:tc>
          <w:tcPr>
            <w:tcW w:type="dxa" w:w="2520"/>
            <w:vAlign w:val="center"/>
          </w:tcPr>
          <w:p>
            <w:r>
              <w:rPr>
                <w:sz w:val="18"/>
              </w:rPr>
              <w:t>184</w:t>
            </w:r>
          </w:p>
        </w:tc>
        <w:tc>
          <w:tcPr>
            <w:tcW w:type="dxa" w:w="2520"/>
            <w:vAlign w:val="center"/>
          </w:tcPr>
          <w:p>
            <w:r>
              <w:rPr>
                <w:sz w:val="18"/>
              </w:rPr>
              <w:t>87</w:t>
            </w:r>
          </w:p>
        </w:tc>
        <w:tc>
          <w:tcPr>
            <w:tcW w:type="dxa" w:w="2520"/>
            <w:vAlign w:val="center"/>
          </w:tcPr>
          <w:p>
            <w:r>
              <w:rPr>
                <w:sz w:val="18"/>
              </w:rPr>
              <w:t>47.28%</w:t>
            </w:r>
          </w:p>
        </w:tc>
      </w:tr>
      <w:tr>
        <w:tc>
          <w:tcPr>
            <w:tcW w:type="dxa" w:w="2520"/>
            <w:vAlign w:val="center"/>
          </w:tcPr>
          <w:p>
            <w:r>
              <w:rPr>
                <w:sz w:val="18"/>
              </w:rPr>
              <w:t>3</w:t>
            </w:r>
          </w:p>
        </w:tc>
        <w:tc>
          <w:tcPr>
            <w:tcW w:type="dxa" w:w="2520"/>
            <w:vAlign w:val="center"/>
          </w:tcPr>
          <w:p>
            <w:r>
              <w:rPr>
                <w:sz w:val="18"/>
              </w:rPr>
              <w:t>491</w:t>
            </w:r>
          </w:p>
        </w:tc>
        <w:tc>
          <w:tcPr>
            <w:tcW w:type="dxa" w:w="2520"/>
            <w:vAlign w:val="center"/>
          </w:tcPr>
          <w:p>
            <w:r>
              <w:rPr>
                <w:sz w:val="18"/>
              </w:rPr>
              <w:t>119</w:t>
            </w:r>
          </w:p>
        </w:tc>
        <w:tc>
          <w:tcPr>
            <w:tcW w:type="dxa" w:w="2520"/>
            <w:vAlign w:val="center"/>
          </w:tcPr>
          <w:p>
            <w:r>
              <w:rPr>
                <w:sz w:val="18"/>
              </w:rPr>
              <w:t>24.24%</w:t>
            </w:r>
          </w:p>
        </w:tc>
      </w:tr>
    </w:tbl>
    <w:p>
      <w:pPr>
        <w:widowControl/>
        <w:jc w:val="center"/>
      </w:pPr>
      <w:r>
        <w:drawing>
          <wp:inline xmlns:a="http://schemas.openxmlformats.org/drawingml/2006/main" xmlns:pic="http://schemas.openxmlformats.org/drawingml/2006/picture">
            <wp:extent cx="5212080" cy="3316778"/>
            <wp:docPr id="5" name="Picture 5"/>
            <wp:cNvGraphicFramePr>
              <a:graphicFrameLocks noChangeAspect="1"/>
            </wp:cNvGraphicFramePr>
            <a:graphic>
              <a:graphicData uri="http://schemas.openxmlformats.org/drawingml/2006/picture">
                <pic:pic>
                  <pic:nvPicPr>
                    <pic:cNvPr id="0" name="survival_by_Pclass.png"/>
                    <pic:cNvPicPr/>
                  </pic:nvPicPr>
                  <pic:blipFill>
                    <a:blip r:embed="rId15"/>
                    <a:stretch>
                      <a:fillRect/>
                    </a:stretch>
                  </pic:blipFill>
                  <pic:spPr>
                    <a:xfrm>
                      <a:off x="0" y="0"/>
                      <a:ext cx="5212080" cy="3316778"/>
                    </a:xfrm>
                    <a:prstGeom prst="rect"/>
                  </pic:spPr>
                </pic:pic>
              </a:graphicData>
            </a:graphic>
          </wp:inline>
        </w:drawing>
      </w:r>
    </w:p>
    <w:p>
      <w:pPr>
        <w:widowControl/>
        <w:jc w:val="center"/>
      </w:pPr>
      <w:r>
        <w:rPr>
          <w:i/>
          <w:sz w:val="18"/>
        </w:rPr>
        <w:t>Figure 5. Survival percentage by passenger class</w:t>
      </w:r>
    </w:p>
    <w:p>
      <w:pPr>
        <w:pStyle w:val="Heading2"/>
        <w:widowControl/>
      </w:pPr>
      <w:r>
        <w:t>7.3 Survival by embarkation port</w:t>
      </w:r>
    </w:p>
    <w:p>
      <w:pPr>
        <w:widowControl/>
        <w:spacing w:after="120" w:line="259" w:lineRule="auto"/>
      </w:pPr>
      <w:r>
        <w:t>Passengers embarking at C had the highest observed survival rate at 55.69%, followed by Q at 38.96% and S at 33.85%. These are descriptive associations and should not be interpreted as causal effects without further modeling and control for related variables.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rPr>
                <w:b/>
                <w:sz w:val="18"/>
              </w:rPr>
              <w:t>group</w:t>
            </w:r>
          </w:p>
        </w:tc>
        <w:tc>
          <w:tcPr>
            <w:tcW w:type="dxa" w:w="2520"/>
          </w:tcPr>
          <w:p>
            <w:r>
              <w:rPr>
                <w:b/>
                <w:sz w:val="18"/>
              </w:rPr>
              <w:t>n</w:t>
            </w:r>
          </w:p>
        </w:tc>
        <w:tc>
          <w:tcPr>
            <w:tcW w:type="dxa" w:w="2520"/>
          </w:tcPr>
          <w:p>
            <w:r>
              <w:rPr>
                <w:b/>
                <w:sz w:val="18"/>
              </w:rPr>
              <w:t>survived</w:t>
            </w:r>
          </w:p>
        </w:tc>
        <w:tc>
          <w:tcPr>
            <w:tcW w:type="dxa" w:w="2520"/>
          </w:tcPr>
          <w:p>
            <w:r>
              <w:rPr>
                <w:b/>
                <w:sz w:val="18"/>
              </w:rPr>
              <w:t>percent</w:t>
            </w:r>
          </w:p>
        </w:tc>
      </w:tr>
      <w:tr>
        <w:tc>
          <w:tcPr>
            <w:tcW w:type="dxa" w:w="2520"/>
            <w:vAlign w:val="center"/>
          </w:tcPr>
          <w:p>
            <w:r>
              <w:rPr>
                <w:sz w:val="18"/>
              </w:rPr>
              <w:t>C</w:t>
            </w:r>
          </w:p>
        </w:tc>
        <w:tc>
          <w:tcPr>
            <w:tcW w:type="dxa" w:w="2520"/>
            <w:vAlign w:val="center"/>
          </w:tcPr>
          <w:p>
            <w:r>
              <w:rPr>
                <w:sz w:val="18"/>
              </w:rPr>
              <w:t>167</w:t>
            </w:r>
          </w:p>
        </w:tc>
        <w:tc>
          <w:tcPr>
            <w:tcW w:type="dxa" w:w="2520"/>
            <w:vAlign w:val="center"/>
          </w:tcPr>
          <w:p>
            <w:r>
              <w:rPr>
                <w:sz w:val="18"/>
              </w:rPr>
              <w:t>93</w:t>
            </w:r>
          </w:p>
        </w:tc>
        <w:tc>
          <w:tcPr>
            <w:tcW w:type="dxa" w:w="2520"/>
            <w:vAlign w:val="center"/>
          </w:tcPr>
          <w:p>
            <w:r>
              <w:rPr>
                <w:sz w:val="18"/>
              </w:rPr>
              <w:t>55.69%</w:t>
            </w:r>
          </w:p>
        </w:tc>
      </w:tr>
      <w:tr>
        <w:tc>
          <w:tcPr>
            <w:tcW w:type="dxa" w:w="2520"/>
            <w:vAlign w:val="center"/>
          </w:tcPr>
          <w:p>
            <w:r>
              <w:rPr>
                <w:sz w:val="18"/>
              </w:rPr>
              <w:t>Q</w:t>
            </w:r>
          </w:p>
        </w:tc>
        <w:tc>
          <w:tcPr>
            <w:tcW w:type="dxa" w:w="2520"/>
            <w:vAlign w:val="center"/>
          </w:tcPr>
          <w:p>
            <w:r>
              <w:rPr>
                <w:sz w:val="18"/>
              </w:rPr>
              <w:t>77</w:t>
            </w:r>
          </w:p>
        </w:tc>
        <w:tc>
          <w:tcPr>
            <w:tcW w:type="dxa" w:w="2520"/>
            <w:vAlign w:val="center"/>
          </w:tcPr>
          <w:p>
            <w:r>
              <w:rPr>
                <w:sz w:val="18"/>
              </w:rPr>
              <w:t>30</w:t>
            </w:r>
          </w:p>
        </w:tc>
        <w:tc>
          <w:tcPr>
            <w:tcW w:type="dxa" w:w="2520"/>
            <w:vAlign w:val="center"/>
          </w:tcPr>
          <w:p>
            <w:r>
              <w:rPr>
                <w:sz w:val="18"/>
              </w:rPr>
              <w:t>38.96%</w:t>
            </w:r>
          </w:p>
        </w:tc>
      </w:tr>
      <w:tr>
        <w:tc>
          <w:tcPr>
            <w:tcW w:type="dxa" w:w="2520"/>
            <w:vAlign w:val="center"/>
          </w:tcPr>
          <w:p>
            <w:r>
              <w:rPr>
                <w:sz w:val="18"/>
              </w:rPr>
              <w:t>S</w:t>
            </w:r>
          </w:p>
        </w:tc>
        <w:tc>
          <w:tcPr>
            <w:tcW w:type="dxa" w:w="2520"/>
            <w:vAlign w:val="center"/>
          </w:tcPr>
          <w:p>
            <w:r>
              <w:rPr>
                <w:sz w:val="18"/>
              </w:rPr>
              <w:t>647</w:t>
            </w:r>
          </w:p>
        </w:tc>
        <w:tc>
          <w:tcPr>
            <w:tcW w:type="dxa" w:w="2520"/>
            <w:vAlign w:val="center"/>
          </w:tcPr>
          <w:p>
            <w:r>
              <w:rPr>
                <w:sz w:val="18"/>
              </w:rPr>
              <w:t>219</w:t>
            </w:r>
          </w:p>
        </w:tc>
        <w:tc>
          <w:tcPr>
            <w:tcW w:type="dxa" w:w="2520"/>
            <w:vAlign w:val="center"/>
          </w:tcPr>
          <w:p>
            <w:r>
              <w:rPr>
                <w:sz w:val="18"/>
              </w:rPr>
              <w:t>33.85%</w:t>
            </w:r>
          </w:p>
        </w:tc>
      </w:tr>
    </w:tbl>
    <w:p>
      <w:pPr>
        <w:widowControl/>
        <w:jc w:val="center"/>
      </w:pPr>
      <w:r>
        <w:drawing>
          <wp:inline xmlns:a="http://schemas.openxmlformats.org/drawingml/2006/main" xmlns:pic="http://schemas.openxmlformats.org/drawingml/2006/picture">
            <wp:extent cx="5212080" cy="3316778"/>
            <wp:docPr id="6" name="Picture 6"/>
            <wp:cNvGraphicFramePr>
              <a:graphicFrameLocks noChangeAspect="1"/>
            </wp:cNvGraphicFramePr>
            <a:graphic>
              <a:graphicData uri="http://schemas.openxmlformats.org/drawingml/2006/picture">
                <pic:pic>
                  <pic:nvPicPr>
                    <pic:cNvPr id="0" name="survival_by_Embarked.png"/>
                    <pic:cNvPicPr/>
                  </pic:nvPicPr>
                  <pic:blipFill>
                    <a:blip r:embed="rId16"/>
                    <a:stretch>
                      <a:fillRect/>
                    </a:stretch>
                  </pic:blipFill>
                  <pic:spPr>
                    <a:xfrm>
                      <a:off x="0" y="0"/>
                      <a:ext cx="5212080" cy="3316778"/>
                    </a:xfrm>
                    <a:prstGeom prst="rect"/>
                  </pic:spPr>
                </pic:pic>
              </a:graphicData>
            </a:graphic>
          </wp:inline>
        </w:drawing>
      </w:r>
    </w:p>
    <w:p>
      <w:pPr>
        <w:widowControl/>
        <w:jc w:val="center"/>
      </w:pPr>
      <w:r>
        <w:rPr>
          <w:i/>
          <w:sz w:val="18"/>
        </w:rPr>
        <w:t>Figure 6. Survival percentage by embarkation port</w:t>
      </w:r>
    </w:p>
    <w:p>
      <w:pPr>
        <w:pStyle w:val="Heading1"/>
        <w:widowControl/>
      </w:pPr>
      <w:r>
        <w:t>8. Correlation Analysis</w:t>
      </w:r>
    </w:p>
    <w:p>
      <w:pPr>
        <w:widowControl/>
        <w:spacing w:after="120" w:line="259" w:lineRule="auto"/>
      </w:pPr>
      <w:r>
        <w:t>Pearson correlations were calculated for selected numeric and encoded variables. Survival had a negative correlation with Pclass_enc (-0.338), meaning higher class numbers (lower travel class) were associated with lower survival. HasCabin had a positive correlation with survival (0.317), while Fare had a positive correlation of 0.257. These correlations describe association only and do not establish causation.</w:t>
      </w:r>
    </w:p>
    <w:p>
      <w:pPr>
        <w:widowControl/>
        <w:jc w:val="center"/>
      </w:pPr>
      <w:r>
        <w:drawing>
          <wp:inline xmlns:a="http://schemas.openxmlformats.org/drawingml/2006/main" xmlns:pic="http://schemas.openxmlformats.org/drawingml/2006/picture">
            <wp:extent cx="5029200" cy="4114800"/>
            <wp:docPr id="7" name="Picture 7"/>
            <wp:cNvGraphicFramePr>
              <a:graphicFrameLocks noChangeAspect="1"/>
            </wp:cNvGraphicFramePr>
            <a:graphic>
              <a:graphicData uri="http://schemas.openxmlformats.org/drawingml/2006/picture">
                <pic:pic>
                  <pic:nvPicPr>
                    <pic:cNvPr id="0" name="correlation_heatmap.png"/>
                    <pic:cNvPicPr/>
                  </pic:nvPicPr>
                  <pic:blipFill>
                    <a:blip r:embed="rId17"/>
                    <a:stretch>
                      <a:fillRect/>
                    </a:stretch>
                  </pic:blipFill>
                  <pic:spPr>
                    <a:xfrm>
                      <a:off x="0" y="0"/>
                      <a:ext cx="5029200" cy="4114800"/>
                    </a:xfrm>
                    <a:prstGeom prst="rect"/>
                  </pic:spPr>
                </pic:pic>
              </a:graphicData>
            </a:graphic>
          </wp:inline>
        </w:drawing>
      </w:r>
    </w:p>
    <w:p>
      <w:pPr>
        <w:widowControl/>
        <w:jc w:val="center"/>
      </w:pPr>
      <w:r>
        <w:rPr>
          <w:i/>
          <w:sz w:val="18"/>
        </w:rPr>
        <w:t>Figure 7. Pearson correlation heatmap</w:t>
      </w:r>
    </w:p>
    <w:p>
      <w:pPr>
        <w:pStyle w:val="Heading1"/>
        <w:widowControl/>
      </w:pPr>
      <w:r>
        <w:t>9. Final Output and Quality Checks</w:t>
      </w:r>
    </w:p>
    <w:p>
      <w:pPr>
        <w:widowControl/>
        <w:spacing w:after="120" w:line="259" w:lineRule="auto"/>
      </w:pPr>
      <w:r>
        <w:t>The cleaned dataset was exported as titanic_cleaned.csv. The R script includes a stopifnot quality check requiring exactly 891 rows, no remaining missing values, and no duplicated PassengerId values. The project also exports rejected records, missing-value summaries, outlier summaries, descriptive statistics, grouped survival tables, a correlation matrix, and seven PNG visualizations.</w:t>
      </w:r>
    </w:p>
    <w:p>
      <w:pPr>
        <w:pStyle w:val="ListBullet"/>
        <w:widowControl/>
        <w:spacing w:after="60"/>
      </w:pPr>
      <w:r>
        <w:t>Final valid passenger records: 891</w:t>
      </w:r>
    </w:p>
    <w:p>
      <w:pPr>
        <w:pStyle w:val="ListBullet"/>
        <w:widowControl/>
        <w:spacing w:after="60"/>
      </w:pPr>
      <w:r>
        <w:t>Remaining missing values after cleaning: 0</w:t>
      </w:r>
    </w:p>
    <w:p>
      <w:pPr>
        <w:pStyle w:val="ListBullet"/>
        <w:widowControl/>
        <w:spacing w:after="60"/>
      </w:pPr>
      <w:r>
        <w:t>Passenger IDs: unique</w:t>
      </w:r>
    </w:p>
    <w:p>
      <w:pPr>
        <w:pStyle w:val="ListBullet"/>
        <w:widowControl/>
        <w:spacing w:after="60"/>
      </w:pPr>
      <w:r>
        <w:t>Original Age and Fare retained alongside transformed versions</w:t>
      </w:r>
    </w:p>
    <w:p>
      <w:pPr>
        <w:pStyle w:val="ListBullet"/>
        <w:widowControl/>
        <w:spacing w:after="60"/>
      </w:pPr>
      <w:r>
        <w:t>Analysis outputs saved to tables/ and plots/ folders</w:t>
      </w:r>
    </w:p>
    <w:p>
      <w:pPr>
        <w:pStyle w:val="Heading1"/>
        <w:widowControl/>
      </w:pPr>
      <w:r>
        <w:t>10. Conclusion</w:t>
      </w:r>
    </w:p>
    <w:p>
      <w:pPr>
        <w:widowControl/>
        <w:spacing w:after="120" w:line="259" w:lineRule="auto"/>
      </w:pPr>
      <w:r>
        <w:t>The Week 1 project successfully demonstrates a complete introductory data-cleaning workflow in R: inspection, validation, missing-value handling, feature engineering, outlier assessment, scaling, descriptive analysis, visualization, and export. The cleaned data are ready for more advanced exploratory analysis or predictive modeling in later project stages.</w:t>
      </w:r>
    </w:p>
    <w:p>
      <w:pPr>
        <w:widowControl/>
        <w:spacing w:after="120" w:line="259" w:lineRule="auto"/>
      </w:pPr>
      <w:r>
        <w:t>The preliminary results suggest that sex and passenger class are especially important variables for understanding Titanic survival patterns. Further work could test these relationships jointly using statistical or machine-learning models rather than relying only on one-variable summaries.</w:t>
      </w:r>
    </w:p>
    <w:p>
      <w:pPr>
        <w:pStyle w:val="Heading1"/>
        <w:widowControl/>
      </w:pPr>
      <w:r>
        <w:t>Appendix A. Reproducibility</w:t>
      </w:r>
    </w:p>
    <w:p>
      <w:pPr>
        <w:widowControl/>
        <w:spacing w:after="120" w:line="259" w:lineRule="auto"/>
      </w:pPr>
      <w:r>
        <w:t>Main script: week1_data_cleaning.R. The script reads the input CSV, creates tables/ and plots/ directories, performs all cleaning and analysis steps, and writes titanic_cleaned.csv. It is designed to run with base R.</w:t>
      </w:r>
    </w:p>
    <w:p>
      <w:pPr>
        <w:widowControl/>
        <w:spacing w:after="120" w:line="259" w:lineRule="auto"/>
      </w:pPr>
      <w:r>
        <w:t>Project files generated by the workflow include: titanic_cleaned.csv; tables/missing_values.csv; tables/outliers.csv; tables/descriptive_statistics.csv; survival summary tables; tables/correlation_matrix.csv; tables/rejected_rows.csv; and seven PNG plots.</w:t>
      </w:r>
    </w:p>
    <w:sectPr w:rsidR="00FC693F" w:rsidRPr="0006063C" w:rsidSect="00034616">
      <w:headerReference w:type="default" r:id="rId9"/>
      <w:footerReference w:type="default" r:id="rId10"/>
      <w:footerReference w:type="first" r:id="rId18"/>
      <w:footerReference w:type="even" r:id="rId1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Titanic Data Analysis  •  Suhas D.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 PROJECT REPORT  |  DATA CLEANING &amp; PRELIMINARY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footer" Target="footer2.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Project Report - Titanic Data Cleaning and Preliminary Analysis</dc:title>
  <dc:subject>R data cleaning and exploratory analysis project report</dc:subject>
  <dc:creator>Bhavana D.</dc:creator>
  <cp:keywords/>
  <dc:description>generated by python-docx</dc:description>
  <cp:lastModifiedBy/>
  <cp:revision>1</cp:revision>
  <dcterms:created xsi:type="dcterms:W3CDTF">2013-12-23T23:15:00Z</dcterms:created>
  <dcterms:modified xsi:type="dcterms:W3CDTF">2013-12-23T23:15:00Z</dcterms:modified>
  <cp:category/>
</cp:coreProperties>
</file>