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Sophia Patel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Respiratory Specialist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William Harris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August 15, 1975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8723419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76345218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Reflux</w:t>
              <w:br/>
              <w:t>• Enlarged prostate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Shortness of breath</w:t>
              <w:br/>
              <w:t>• Fatigue</w:t>
              <w:br/>
              <w:t>• Muscle aches</w:t>
              <w:br/>
              <w:t>• Fever</w:t>
              <w:br/>
              <w:t>• Loss of taste and smell</w:t>
              <w:br/>
              <w:t>• Potential cough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Suggestion by AI: Possible COVID-19 infection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Unknown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