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Rachel Kapoor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Infectious Disease Specialist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Jean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May 12, 1985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9823476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45378210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+1 (555) 876-5432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jean.doe@example.com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Takes a statin for cholesterol</w:t>
              <w:br/>
              <w:t>• Tick bite about 10 years ago that caused a bullseye rash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Tick bite on left knee, in the joint area</w:t>
              <w:br/>
              <w:t>• Skin redness and tenderness at the bite site</w:t>
              <w:br/>
              <w:t>• No bullseye rash</w:t>
              <w:br/>
              <w:t>• No fever or flu-like symptoms</w:t>
              <w:br/>
              <w:t>• No other ticks found on patient or husband</w:t>
              <w:br/>
              <w:t>• Tick brought in by patient for identification</w:t>
              <w:br/>
              <w:t>• Possible exposure to tick during hiking or gardening activities a few days prior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Possible Lyme Disease (Suggestion by AI)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Antibiotics (Suggestion by AI)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