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F1C25" w14:textId="77777777" w:rsidR="00C721EF" w:rsidRPr="00C721EF" w:rsidRDefault="00C721EF" w:rsidP="00C721EF">
      <w:pPr>
        <w:pStyle w:val="Title"/>
        <w:rPr>
          <w:rFonts w:ascii="Times New Roman" w:hAnsi="Times New Roman" w:cs="Times New Roman"/>
        </w:rPr>
      </w:pPr>
      <w:r w:rsidRPr="00C721EF">
        <w:rPr>
          <w:rFonts w:ascii="Times New Roman" w:hAnsi="Times New Roman" w:cs="Times New Roman"/>
        </w:rPr>
        <w:t>Youth Political Participation and Democracy in Europe</w:t>
      </w:r>
    </w:p>
    <w:p w14:paraId="4CD762E6" w14:textId="77777777" w:rsidR="00C721EF" w:rsidRPr="00C721EF" w:rsidRDefault="00C721EF" w:rsidP="00C721EF">
      <w:pPr>
        <w:pStyle w:val="Heading2"/>
        <w:rPr>
          <w:rFonts w:cs="Times New Roman"/>
          <w:color w:val="auto"/>
        </w:rPr>
      </w:pPr>
      <w:r w:rsidRPr="00C721EF">
        <w:rPr>
          <w:rFonts w:cs="Times New Roman"/>
          <w:color w:val="auto"/>
        </w:rPr>
        <w:t>A Comparative Analysis of Young Adults and Older Adults Using European Social Survey Round 11</w:t>
      </w:r>
    </w:p>
    <w:p w14:paraId="11188CE3" w14:textId="77777777" w:rsidR="00C721EF" w:rsidRDefault="00C721EF" w:rsidP="00C721EF">
      <w:pPr>
        <w:rPr>
          <w:rFonts w:ascii="Times New Roman" w:hAnsi="Times New Roman" w:cs="Times New Roman"/>
          <w:b/>
          <w:bCs/>
        </w:rPr>
      </w:pPr>
    </w:p>
    <w:p w14:paraId="6C035E8E" w14:textId="77777777" w:rsidR="00C721EF" w:rsidRDefault="00C721EF" w:rsidP="00C721EF">
      <w:pPr>
        <w:rPr>
          <w:rFonts w:ascii="Times New Roman" w:hAnsi="Times New Roman" w:cs="Times New Roman"/>
          <w:b/>
          <w:bCs/>
        </w:rPr>
      </w:pPr>
    </w:p>
    <w:p w14:paraId="765C9C5B" w14:textId="77777777" w:rsidR="00C721EF" w:rsidRDefault="00C721EF" w:rsidP="00C721EF">
      <w:pPr>
        <w:rPr>
          <w:rFonts w:ascii="Times New Roman" w:hAnsi="Times New Roman" w:cs="Times New Roman"/>
          <w:b/>
          <w:bCs/>
        </w:rPr>
      </w:pPr>
    </w:p>
    <w:p w14:paraId="19517518" w14:textId="77777777" w:rsidR="00C721EF" w:rsidRDefault="00C721EF" w:rsidP="00C721EF">
      <w:pPr>
        <w:rPr>
          <w:rFonts w:ascii="Times New Roman" w:hAnsi="Times New Roman" w:cs="Times New Roman"/>
          <w:b/>
          <w:bCs/>
        </w:rPr>
      </w:pPr>
    </w:p>
    <w:p w14:paraId="2AD46661" w14:textId="77777777" w:rsidR="00C721EF" w:rsidRDefault="00C721EF" w:rsidP="00C721EF">
      <w:pPr>
        <w:rPr>
          <w:rFonts w:ascii="Times New Roman" w:hAnsi="Times New Roman" w:cs="Times New Roman"/>
          <w:b/>
          <w:bCs/>
        </w:rPr>
      </w:pPr>
    </w:p>
    <w:p w14:paraId="0E79416F" w14:textId="77777777" w:rsidR="00C721EF" w:rsidRDefault="00C721EF" w:rsidP="00C721EF">
      <w:pPr>
        <w:rPr>
          <w:rFonts w:ascii="Times New Roman" w:hAnsi="Times New Roman" w:cs="Times New Roman"/>
          <w:b/>
          <w:bCs/>
        </w:rPr>
      </w:pPr>
    </w:p>
    <w:p w14:paraId="2FFE9B84" w14:textId="77777777" w:rsidR="00C721EF" w:rsidRDefault="00C721EF" w:rsidP="00C721EF">
      <w:pPr>
        <w:rPr>
          <w:rFonts w:ascii="Times New Roman" w:hAnsi="Times New Roman" w:cs="Times New Roman"/>
          <w:b/>
          <w:bCs/>
        </w:rPr>
      </w:pPr>
    </w:p>
    <w:p w14:paraId="1AE6460D" w14:textId="77777777" w:rsidR="00C721EF" w:rsidRDefault="00C721EF" w:rsidP="00C721EF">
      <w:pPr>
        <w:rPr>
          <w:rFonts w:ascii="Times New Roman" w:hAnsi="Times New Roman" w:cs="Times New Roman"/>
          <w:b/>
          <w:bCs/>
        </w:rPr>
      </w:pPr>
    </w:p>
    <w:p w14:paraId="75BF631F" w14:textId="77777777" w:rsidR="00C721EF" w:rsidRDefault="00C721EF" w:rsidP="00C721EF">
      <w:pPr>
        <w:rPr>
          <w:rFonts w:ascii="Times New Roman" w:hAnsi="Times New Roman" w:cs="Times New Roman"/>
          <w:b/>
          <w:bCs/>
        </w:rPr>
      </w:pPr>
    </w:p>
    <w:p w14:paraId="27EEDA9B" w14:textId="77777777" w:rsidR="00C721EF" w:rsidRDefault="00C721EF" w:rsidP="00C721EF">
      <w:pPr>
        <w:rPr>
          <w:rFonts w:ascii="Times New Roman" w:hAnsi="Times New Roman" w:cs="Times New Roman"/>
          <w:b/>
          <w:bCs/>
        </w:rPr>
      </w:pPr>
    </w:p>
    <w:p w14:paraId="25BA7A24" w14:textId="77777777" w:rsidR="00DB7710" w:rsidRPr="00DB7710" w:rsidRDefault="00DB7710" w:rsidP="00DB7710">
      <w:pPr>
        <w:rPr>
          <w:rFonts w:ascii="Times New Roman" w:hAnsi="Times New Roman" w:cs="Times New Roman"/>
        </w:rPr>
      </w:pPr>
      <w:r w:rsidRPr="00DB7710">
        <w:rPr>
          <w:rFonts w:ascii="Times New Roman" w:hAnsi="Times New Roman" w:cs="Times New Roman"/>
          <w:b/>
          <w:bCs/>
        </w:rPr>
        <w:t>Project Report</w:t>
      </w:r>
    </w:p>
    <w:p w14:paraId="297013AD" w14:textId="7DEC71F8" w:rsidR="00C721EF" w:rsidRPr="00DB7710" w:rsidRDefault="00DB7710" w:rsidP="00DB7710">
      <w:pPr>
        <w:rPr>
          <w:rFonts w:ascii="Times New Roman" w:hAnsi="Times New Roman" w:cs="Times New Roman"/>
          <w:b/>
          <w:bCs/>
        </w:rPr>
      </w:pPr>
      <w:r w:rsidRPr="00DB7710">
        <w:rPr>
          <w:rFonts w:ascii="Times New Roman" w:hAnsi="Times New Roman" w:cs="Times New Roman"/>
          <w:b/>
          <w:bCs/>
        </w:rPr>
        <w:t>Prepared by:</w:t>
      </w:r>
      <w:r w:rsidRPr="00DB7710">
        <w:rPr>
          <w:rFonts w:ascii="Times New Roman" w:hAnsi="Times New Roman" w:cs="Times New Roman"/>
        </w:rPr>
        <w:t xml:space="preserve"> Suhail Alam Mansoori</w:t>
      </w:r>
      <w:r w:rsidRPr="00DB7710">
        <w:rPr>
          <w:rFonts w:ascii="Times New Roman" w:hAnsi="Times New Roman" w:cs="Times New Roman"/>
        </w:rPr>
        <w:br/>
      </w:r>
      <w:r w:rsidRPr="00DB7710">
        <w:rPr>
          <w:rFonts w:ascii="Times New Roman" w:hAnsi="Times New Roman" w:cs="Times New Roman"/>
          <w:b/>
          <w:bCs/>
        </w:rPr>
        <w:t>Academic Background:</w:t>
      </w:r>
      <w:r w:rsidRPr="00DB7710">
        <w:rPr>
          <w:rFonts w:ascii="Times New Roman" w:hAnsi="Times New Roman" w:cs="Times New Roman"/>
        </w:rPr>
        <w:t xml:space="preserve"> B.A. (Hons.) Political Science</w:t>
      </w:r>
      <w:r w:rsidRPr="00DB7710">
        <w:rPr>
          <w:rFonts w:ascii="Times New Roman" w:hAnsi="Times New Roman" w:cs="Times New Roman"/>
        </w:rPr>
        <w:br/>
      </w:r>
      <w:r w:rsidRPr="00DB7710">
        <w:rPr>
          <w:rFonts w:ascii="Times New Roman" w:hAnsi="Times New Roman" w:cs="Times New Roman"/>
          <w:b/>
          <w:bCs/>
        </w:rPr>
        <w:t>Institution:</w:t>
      </w:r>
      <w:r w:rsidRPr="00DB7710">
        <w:rPr>
          <w:rFonts w:ascii="Times New Roman" w:hAnsi="Times New Roman" w:cs="Times New Roman"/>
        </w:rPr>
        <w:t xml:space="preserve"> University of Delhi</w:t>
      </w:r>
    </w:p>
    <w:p w14:paraId="2C95F6E6" w14:textId="77777777" w:rsidR="00C721EF" w:rsidRDefault="00C721EF" w:rsidP="00C721EF">
      <w:pPr>
        <w:rPr>
          <w:rFonts w:ascii="Times New Roman" w:hAnsi="Times New Roman" w:cs="Times New Roman"/>
          <w:b/>
          <w:bCs/>
        </w:rPr>
      </w:pPr>
    </w:p>
    <w:p w14:paraId="3F0B5CC6" w14:textId="77777777" w:rsidR="00C721EF" w:rsidRDefault="00C721EF" w:rsidP="00C721EF">
      <w:pPr>
        <w:rPr>
          <w:rFonts w:ascii="Times New Roman" w:hAnsi="Times New Roman" w:cs="Times New Roman"/>
          <w:b/>
          <w:bCs/>
        </w:rPr>
      </w:pPr>
    </w:p>
    <w:p w14:paraId="523A2CD4" w14:textId="77777777" w:rsidR="00C721EF" w:rsidRDefault="00C721EF" w:rsidP="00C721EF">
      <w:pPr>
        <w:rPr>
          <w:rFonts w:ascii="Times New Roman" w:hAnsi="Times New Roman" w:cs="Times New Roman"/>
          <w:b/>
          <w:bCs/>
        </w:rPr>
      </w:pPr>
    </w:p>
    <w:p w14:paraId="73219125" w14:textId="77777777" w:rsidR="00C721EF" w:rsidRDefault="00C721EF" w:rsidP="00C721EF">
      <w:pPr>
        <w:rPr>
          <w:rFonts w:ascii="Times New Roman" w:hAnsi="Times New Roman" w:cs="Times New Roman"/>
          <w:b/>
          <w:bCs/>
        </w:rPr>
      </w:pPr>
    </w:p>
    <w:p w14:paraId="0E05C274" w14:textId="77777777" w:rsidR="00C721EF" w:rsidRDefault="00C721EF" w:rsidP="00C721EF">
      <w:pPr>
        <w:rPr>
          <w:rFonts w:ascii="Times New Roman" w:hAnsi="Times New Roman" w:cs="Times New Roman"/>
          <w:b/>
          <w:bCs/>
        </w:rPr>
      </w:pPr>
    </w:p>
    <w:p w14:paraId="6D0F10A5" w14:textId="77777777" w:rsidR="00C721EF" w:rsidRDefault="00C721EF" w:rsidP="00C721EF">
      <w:pPr>
        <w:rPr>
          <w:rFonts w:ascii="Times New Roman" w:hAnsi="Times New Roman" w:cs="Times New Roman"/>
          <w:b/>
          <w:bCs/>
        </w:rPr>
      </w:pPr>
    </w:p>
    <w:p w14:paraId="3FE9EBEB" w14:textId="77777777" w:rsidR="00C721EF" w:rsidRDefault="00C721EF" w:rsidP="00C721EF">
      <w:pPr>
        <w:rPr>
          <w:rFonts w:ascii="Times New Roman" w:hAnsi="Times New Roman" w:cs="Times New Roman"/>
          <w:b/>
          <w:bCs/>
        </w:rPr>
      </w:pPr>
    </w:p>
    <w:p w14:paraId="5211B21E" w14:textId="77777777" w:rsidR="00C721EF" w:rsidRDefault="00C721EF" w:rsidP="00C721EF">
      <w:pPr>
        <w:rPr>
          <w:rFonts w:ascii="Times New Roman" w:hAnsi="Times New Roman" w:cs="Times New Roman"/>
          <w:b/>
          <w:bCs/>
        </w:rPr>
      </w:pPr>
    </w:p>
    <w:p w14:paraId="555B75B9" w14:textId="77777777" w:rsidR="00C721EF" w:rsidRDefault="00C721EF" w:rsidP="00C721EF">
      <w:pPr>
        <w:rPr>
          <w:rFonts w:ascii="Times New Roman" w:hAnsi="Times New Roman" w:cs="Times New Roman"/>
          <w:b/>
          <w:bCs/>
        </w:rPr>
      </w:pPr>
    </w:p>
    <w:p w14:paraId="79CDBC15" w14:textId="47A48D34" w:rsidR="00C721EF" w:rsidRPr="00C721EF" w:rsidRDefault="00C721EF" w:rsidP="00916C48">
      <w:pPr>
        <w:pStyle w:val="Heading1"/>
        <w:spacing w:line="360" w:lineRule="auto"/>
        <w:jc w:val="both"/>
        <w:rPr>
          <w:b/>
          <w:bCs/>
        </w:rPr>
      </w:pPr>
      <w:r w:rsidRPr="00C721EF">
        <w:rPr>
          <w:b/>
          <w:bCs/>
        </w:rPr>
        <w:lastRenderedPageBreak/>
        <w:t>Abstract</w:t>
      </w:r>
    </w:p>
    <w:p w14:paraId="56F37D51" w14:textId="77777777" w:rsidR="00C721EF" w:rsidRDefault="00C721EF" w:rsidP="00916C48">
      <w:pPr>
        <w:pStyle w:val="Heading1"/>
        <w:spacing w:line="360" w:lineRule="auto"/>
        <w:jc w:val="both"/>
        <w:rPr>
          <w:rFonts w:eastAsiaTheme="minorHAnsi" w:cs="Times New Roman"/>
          <w:color w:val="auto"/>
          <w:sz w:val="24"/>
          <w:szCs w:val="24"/>
        </w:rPr>
      </w:pPr>
      <w:r w:rsidRPr="00C721EF">
        <w:rPr>
          <w:rFonts w:eastAsiaTheme="minorHAnsi" w:cs="Times New Roman"/>
          <w:color w:val="auto"/>
          <w:sz w:val="24"/>
          <w:szCs w:val="24"/>
        </w:rPr>
        <w:t xml:space="preserve">This project examines the differences between young adults (18-29) and adults (30+), in terms of political involvement, voting, trust in politicians, direct political engagement, and online political involvement. The project is based on the European Social Survey (ESS) Round 11 integrated dataset, </w:t>
      </w:r>
      <w:proofErr w:type="spellStart"/>
      <w:r w:rsidRPr="00C721EF">
        <w:rPr>
          <w:rFonts w:eastAsiaTheme="minorHAnsi" w:cs="Times New Roman"/>
          <w:color w:val="auto"/>
          <w:sz w:val="24"/>
          <w:szCs w:val="24"/>
        </w:rPr>
        <w:t>utilising</w:t>
      </w:r>
      <w:proofErr w:type="spellEnd"/>
      <w:r w:rsidRPr="00C721EF">
        <w:rPr>
          <w:rFonts w:eastAsiaTheme="minorHAnsi" w:cs="Times New Roman"/>
          <w:color w:val="auto"/>
          <w:sz w:val="24"/>
          <w:szCs w:val="24"/>
        </w:rPr>
        <w:t xml:space="preserve"> data cleaning, descriptive statistical analysis, SQL queries, Python calculations and Power BI </w:t>
      </w:r>
      <w:proofErr w:type="spellStart"/>
      <w:r w:rsidRPr="00C721EF">
        <w:rPr>
          <w:rFonts w:eastAsiaTheme="minorHAnsi" w:cs="Times New Roman"/>
          <w:color w:val="auto"/>
          <w:sz w:val="24"/>
          <w:szCs w:val="24"/>
        </w:rPr>
        <w:t>visualisation</w:t>
      </w:r>
      <w:proofErr w:type="spellEnd"/>
      <w:r w:rsidRPr="00C721EF">
        <w:rPr>
          <w:rFonts w:eastAsiaTheme="minorHAnsi" w:cs="Times New Roman"/>
          <w:color w:val="auto"/>
          <w:sz w:val="24"/>
          <w:szCs w:val="24"/>
        </w:rPr>
        <w:t>.</w:t>
      </w:r>
    </w:p>
    <w:p w14:paraId="1B734C48" w14:textId="77777777" w:rsidR="00C721EF" w:rsidRDefault="00C721EF" w:rsidP="00916C48">
      <w:pPr>
        <w:pStyle w:val="Heading1"/>
        <w:spacing w:line="360" w:lineRule="auto"/>
        <w:jc w:val="both"/>
        <w:rPr>
          <w:rFonts w:eastAsiaTheme="minorHAnsi" w:cs="Times New Roman"/>
          <w:color w:val="auto"/>
          <w:sz w:val="24"/>
          <w:szCs w:val="24"/>
        </w:rPr>
      </w:pPr>
      <w:r w:rsidRPr="00C721EF">
        <w:rPr>
          <w:rFonts w:eastAsiaTheme="minorHAnsi" w:cs="Times New Roman"/>
          <w:color w:val="auto"/>
          <w:sz w:val="24"/>
          <w:szCs w:val="24"/>
        </w:rPr>
        <w:t xml:space="preserve">The data set originally has 50,116 records of the respondents. Out of these, 48,659 are in the two age groups which are chosen for the main comparison. The weighted descriptive results show that youth show lower levels of interest in politics or voting compared to older people, and higher levels of online political activity. Young adults are also less likely to have direct contact with politicians. There are also relatively low levels of trust in politicians in both groups, with a slightly higher weighted mean amongst young adults. </w:t>
      </w:r>
    </w:p>
    <w:p w14:paraId="54E5A071" w14:textId="77777777" w:rsidR="00C721EF" w:rsidRDefault="00C721EF" w:rsidP="00916C48">
      <w:pPr>
        <w:pStyle w:val="Heading1"/>
        <w:spacing w:line="360" w:lineRule="auto"/>
        <w:jc w:val="both"/>
        <w:rPr>
          <w:rFonts w:eastAsiaTheme="minorHAnsi" w:cs="Times New Roman"/>
          <w:color w:val="auto"/>
          <w:sz w:val="24"/>
          <w:szCs w:val="24"/>
        </w:rPr>
      </w:pPr>
      <w:r w:rsidRPr="00C721EF">
        <w:rPr>
          <w:rFonts w:eastAsiaTheme="minorHAnsi" w:cs="Times New Roman"/>
          <w:color w:val="auto"/>
          <w:sz w:val="24"/>
          <w:szCs w:val="24"/>
        </w:rPr>
        <w:t xml:space="preserve">The project illustrates the application of quantitative data analysis to </w:t>
      </w:r>
      <w:proofErr w:type="spellStart"/>
      <w:r w:rsidRPr="00C721EF">
        <w:rPr>
          <w:rFonts w:eastAsiaTheme="minorHAnsi" w:cs="Times New Roman"/>
          <w:color w:val="auto"/>
          <w:sz w:val="24"/>
          <w:szCs w:val="24"/>
        </w:rPr>
        <w:t>analyse</w:t>
      </w:r>
      <w:proofErr w:type="spellEnd"/>
      <w:r w:rsidRPr="00C721EF">
        <w:rPr>
          <w:rFonts w:eastAsiaTheme="minorHAnsi" w:cs="Times New Roman"/>
          <w:color w:val="auto"/>
          <w:sz w:val="24"/>
          <w:szCs w:val="24"/>
        </w:rPr>
        <w:t xml:space="preserve"> questions of interest to political science and democratic participation and public policy. The results are descriptive and should not be viewed as evidence that age makes a difference in political engagement.</w:t>
      </w:r>
    </w:p>
    <w:p w14:paraId="070522F8" w14:textId="2DE21252" w:rsidR="00C721EF" w:rsidRPr="00C721EF" w:rsidRDefault="00C721EF" w:rsidP="00916C48">
      <w:pPr>
        <w:pStyle w:val="Heading1"/>
        <w:spacing w:line="360" w:lineRule="auto"/>
        <w:jc w:val="both"/>
        <w:rPr>
          <w:b/>
          <w:bCs/>
        </w:rPr>
      </w:pPr>
      <w:r w:rsidRPr="00C721EF">
        <w:rPr>
          <w:b/>
          <w:bCs/>
        </w:rPr>
        <w:t>1. Introduction</w:t>
      </w:r>
    </w:p>
    <w:p w14:paraId="6F0FF086" w14:textId="77777777" w:rsidR="00C721EF" w:rsidRDefault="00C721EF" w:rsidP="00916C48">
      <w:pPr>
        <w:pStyle w:val="Heading1"/>
        <w:spacing w:line="360" w:lineRule="auto"/>
        <w:jc w:val="both"/>
        <w:rPr>
          <w:rFonts w:eastAsiaTheme="minorHAnsi" w:cs="Times New Roman"/>
          <w:color w:val="auto"/>
          <w:sz w:val="24"/>
          <w:szCs w:val="24"/>
        </w:rPr>
      </w:pPr>
      <w:r w:rsidRPr="00C721EF">
        <w:rPr>
          <w:rFonts w:eastAsiaTheme="minorHAnsi" w:cs="Times New Roman"/>
          <w:color w:val="auto"/>
          <w:sz w:val="24"/>
          <w:szCs w:val="24"/>
        </w:rPr>
        <w:t xml:space="preserve">Political participation is a key element of democratic representation and civic involvement. Learning about the nature of political </w:t>
      </w:r>
      <w:proofErr w:type="spellStart"/>
      <w:r w:rsidRPr="00C721EF">
        <w:rPr>
          <w:rFonts w:eastAsiaTheme="minorHAnsi" w:cs="Times New Roman"/>
          <w:color w:val="auto"/>
          <w:sz w:val="24"/>
          <w:szCs w:val="24"/>
        </w:rPr>
        <w:t>behaviour</w:t>
      </w:r>
      <w:proofErr w:type="spellEnd"/>
      <w:r w:rsidRPr="00C721EF">
        <w:rPr>
          <w:rFonts w:eastAsiaTheme="minorHAnsi" w:cs="Times New Roman"/>
          <w:color w:val="auto"/>
          <w:sz w:val="24"/>
          <w:szCs w:val="24"/>
        </w:rPr>
        <w:t xml:space="preserve"> by age can contribute to the debate of democratic inclusion, political institutions and citizen engagement. Voting is not the only form of political participation. </w:t>
      </w:r>
    </w:p>
    <w:p w14:paraId="30153826" w14:textId="77777777" w:rsidR="00C721EF" w:rsidRDefault="00C721EF" w:rsidP="00916C48">
      <w:pPr>
        <w:pStyle w:val="Heading1"/>
        <w:spacing w:line="360" w:lineRule="auto"/>
        <w:jc w:val="both"/>
        <w:rPr>
          <w:rFonts w:eastAsiaTheme="minorHAnsi" w:cs="Times New Roman"/>
          <w:color w:val="auto"/>
          <w:sz w:val="24"/>
          <w:szCs w:val="24"/>
        </w:rPr>
      </w:pPr>
      <w:r w:rsidRPr="00C721EF">
        <w:rPr>
          <w:rFonts w:eastAsiaTheme="minorHAnsi" w:cs="Times New Roman"/>
          <w:color w:val="auto"/>
          <w:sz w:val="24"/>
          <w:szCs w:val="24"/>
        </w:rPr>
        <w:t>It encompasses an interest in political matters and communication with elected officials and involvement via the Internet. Trust in politicians also offers a measure of the attitudes towards political institutions. The aim of this project is to analyze some indicators of political behavior among young and older adults based on a survey conducted by the European Social Survey.</w:t>
      </w:r>
    </w:p>
    <w:p w14:paraId="61EA209D" w14:textId="77777777" w:rsidR="00C721EF" w:rsidRDefault="00C721EF" w:rsidP="00916C48">
      <w:pPr>
        <w:pStyle w:val="Heading1"/>
        <w:spacing w:line="360" w:lineRule="auto"/>
        <w:jc w:val="both"/>
        <w:rPr>
          <w:rFonts w:eastAsiaTheme="minorHAnsi" w:cs="Times New Roman"/>
          <w:color w:val="auto"/>
          <w:sz w:val="24"/>
          <w:szCs w:val="24"/>
        </w:rPr>
      </w:pPr>
      <w:r w:rsidRPr="00C721EF">
        <w:rPr>
          <w:rFonts w:eastAsiaTheme="minorHAnsi" w:cs="Times New Roman"/>
          <w:color w:val="auto"/>
          <w:sz w:val="24"/>
          <w:szCs w:val="24"/>
        </w:rPr>
        <w:lastRenderedPageBreak/>
        <w:t xml:space="preserve"> It brings together data preparation, quantitative analysis and </w:t>
      </w:r>
      <w:proofErr w:type="spellStart"/>
      <w:r w:rsidRPr="00C721EF">
        <w:rPr>
          <w:rFonts w:eastAsiaTheme="minorHAnsi" w:cs="Times New Roman"/>
          <w:color w:val="auto"/>
          <w:sz w:val="24"/>
          <w:szCs w:val="24"/>
        </w:rPr>
        <w:t>visualisation</w:t>
      </w:r>
      <w:proofErr w:type="spellEnd"/>
      <w:r w:rsidRPr="00C721EF">
        <w:rPr>
          <w:rFonts w:eastAsiaTheme="minorHAnsi" w:cs="Times New Roman"/>
          <w:color w:val="auto"/>
          <w:sz w:val="24"/>
          <w:szCs w:val="24"/>
        </w:rPr>
        <w:t xml:space="preserve"> to discover differences between the two groups.</w:t>
      </w:r>
    </w:p>
    <w:p w14:paraId="7D53E6C7" w14:textId="77777777" w:rsidR="00C721EF" w:rsidRDefault="00C721EF" w:rsidP="00916C48">
      <w:pPr>
        <w:pStyle w:val="Heading1"/>
        <w:spacing w:line="360" w:lineRule="auto"/>
        <w:jc w:val="both"/>
        <w:rPr>
          <w:rFonts w:eastAsiaTheme="minorHAnsi" w:cs="Times New Roman"/>
          <w:color w:val="auto"/>
          <w:sz w:val="24"/>
          <w:szCs w:val="24"/>
        </w:rPr>
      </w:pPr>
    </w:p>
    <w:p w14:paraId="46203E8A" w14:textId="77777777" w:rsidR="00C721EF" w:rsidRDefault="00C721EF" w:rsidP="00916C48">
      <w:pPr>
        <w:pStyle w:val="Heading1"/>
        <w:spacing w:line="360" w:lineRule="auto"/>
        <w:jc w:val="both"/>
        <w:rPr>
          <w:rFonts w:eastAsiaTheme="minorHAnsi" w:cs="Times New Roman"/>
          <w:color w:val="auto"/>
          <w:sz w:val="24"/>
          <w:szCs w:val="24"/>
        </w:rPr>
      </w:pPr>
    </w:p>
    <w:p w14:paraId="02C3FC71" w14:textId="16C95DCD" w:rsidR="00C721EF" w:rsidRPr="00C721EF" w:rsidRDefault="00C721EF" w:rsidP="00916C48">
      <w:pPr>
        <w:pStyle w:val="Heading1"/>
        <w:spacing w:line="360" w:lineRule="auto"/>
        <w:jc w:val="both"/>
        <w:rPr>
          <w:rFonts w:eastAsiaTheme="minorHAnsi" w:cs="Times New Roman"/>
          <w:color w:val="auto"/>
          <w:sz w:val="24"/>
          <w:szCs w:val="24"/>
        </w:rPr>
      </w:pPr>
      <w:r w:rsidRPr="00C721EF">
        <w:rPr>
          <w:b/>
          <w:bCs/>
        </w:rPr>
        <w:t>2. Research Objectives</w:t>
      </w:r>
    </w:p>
    <w:p w14:paraId="33B82DEE"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The project has five objectives:</w:t>
      </w:r>
    </w:p>
    <w:p w14:paraId="3BC6C3C1" w14:textId="77777777" w:rsidR="00C721EF" w:rsidRPr="00C721EF" w:rsidRDefault="00C721EF" w:rsidP="00916C48">
      <w:pPr>
        <w:numPr>
          <w:ilvl w:val="0"/>
          <w:numId w:val="1"/>
        </w:numPr>
        <w:spacing w:line="360" w:lineRule="auto"/>
        <w:jc w:val="both"/>
        <w:rPr>
          <w:rFonts w:ascii="Times New Roman" w:hAnsi="Times New Roman" w:cs="Times New Roman"/>
        </w:rPr>
      </w:pPr>
      <w:r w:rsidRPr="00C721EF">
        <w:rPr>
          <w:rFonts w:ascii="Times New Roman" w:hAnsi="Times New Roman" w:cs="Times New Roman"/>
        </w:rPr>
        <w:t>Compare political interest among young adults aged 18–29 and adults aged 30 and above.</w:t>
      </w:r>
    </w:p>
    <w:p w14:paraId="535087BF" w14:textId="77777777" w:rsidR="00C721EF" w:rsidRPr="00C721EF" w:rsidRDefault="00C721EF" w:rsidP="00916C48">
      <w:pPr>
        <w:numPr>
          <w:ilvl w:val="0"/>
          <w:numId w:val="1"/>
        </w:numPr>
        <w:spacing w:line="360" w:lineRule="auto"/>
        <w:jc w:val="both"/>
        <w:rPr>
          <w:rFonts w:ascii="Times New Roman" w:hAnsi="Times New Roman" w:cs="Times New Roman"/>
        </w:rPr>
      </w:pPr>
      <w:r w:rsidRPr="00C721EF">
        <w:rPr>
          <w:rFonts w:ascii="Times New Roman" w:hAnsi="Times New Roman" w:cs="Times New Roman"/>
        </w:rPr>
        <w:t xml:space="preserve">Examine differences in reported voting </w:t>
      </w:r>
      <w:proofErr w:type="spellStart"/>
      <w:r w:rsidRPr="00C721EF">
        <w:rPr>
          <w:rFonts w:ascii="Times New Roman" w:hAnsi="Times New Roman" w:cs="Times New Roman"/>
        </w:rPr>
        <w:t>behaviour</w:t>
      </w:r>
      <w:proofErr w:type="spellEnd"/>
      <w:r w:rsidRPr="00C721EF">
        <w:rPr>
          <w:rFonts w:ascii="Times New Roman" w:hAnsi="Times New Roman" w:cs="Times New Roman"/>
        </w:rPr>
        <w:t>, including respondents who were not eligible to vote.</w:t>
      </w:r>
    </w:p>
    <w:p w14:paraId="537492E9" w14:textId="77777777" w:rsidR="00C721EF" w:rsidRPr="00C721EF" w:rsidRDefault="00C721EF" w:rsidP="00916C48">
      <w:pPr>
        <w:numPr>
          <w:ilvl w:val="0"/>
          <w:numId w:val="1"/>
        </w:numPr>
        <w:spacing w:line="360" w:lineRule="auto"/>
        <w:jc w:val="both"/>
        <w:rPr>
          <w:rFonts w:ascii="Times New Roman" w:hAnsi="Times New Roman" w:cs="Times New Roman"/>
        </w:rPr>
      </w:pPr>
      <w:r w:rsidRPr="00C721EF">
        <w:rPr>
          <w:rFonts w:ascii="Times New Roman" w:hAnsi="Times New Roman" w:cs="Times New Roman"/>
        </w:rPr>
        <w:t>Compare the proportions of respondents who reported contacting a politician.</w:t>
      </w:r>
    </w:p>
    <w:p w14:paraId="3A34DD65" w14:textId="77777777" w:rsidR="00C721EF" w:rsidRPr="00C721EF" w:rsidRDefault="00C721EF" w:rsidP="00916C48">
      <w:pPr>
        <w:numPr>
          <w:ilvl w:val="0"/>
          <w:numId w:val="1"/>
        </w:numPr>
        <w:spacing w:line="360" w:lineRule="auto"/>
        <w:jc w:val="both"/>
        <w:rPr>
          <w:rFonts w:ascii="Times New Roman" w:hAnsi="Times New Roman" w:cs="Times New Roman"/>
        </w:rPr>
      </w:pPr>
      <w:r w:rsidRPr="00C721EF">
        <w:rPr>
          <w:rFonts w:ascii="Times New Roman" w:hAnsi="Times New Roman" w:cs="Times New Roman"/>
        </w:rPr>
        <w:t>Examine differences in online political activity.</w:t>
      </w:r>
    </w:p>
    <w:p w14:paraId="191E42FC" w14:textId="77777777" w:rsidR="00C721EF" w:rsidRPr="00C721EF" w:rsidRDefault="00C721EF" w:rsidP="00916C48">
      <w:pPr>
        <w:numPr>
          <w:ilvl w:val="0"/>
          <w:numId w:val="1"/>
        </w:numPr>
        <w:spacing w:line="360" w:lineRule="auto"/>
        <w:jc w:val="both"/>
        <w:rPr>
          <w:rFonts w:ascii="Times New Roman" w:hAnsi="Times New Roman" w:cs="Times New Roman"/>
        </w:rPr>
      </w:pPr>
      <w:r w:rsidRPr="00C721EF">
        <w:rPr>
          <w:rFonts w:ascii="Times New Roman" w:hAnsi="Times New Roman" w:cs="Times New Roman"/>
        </w:rPr>
        <w:t>Compare average trust in politicians between the two age groups.</w:t>
      </w:r>
    </w:p>
    <w:p w14:paraId="38FC887A" w14:textId="77777777" w:rsidR="00C721EF" w:rsidRPr="00C721EF" w:rsidRDefault="00C721EF" w:rsidP="00916C48">
      <w:pPr>
        <w:pStyle w:val="Heading1"/>
        <w:spacing w:line="360" w:lineRule="auto"/>
        <w:jc w:val="both"/>
        <w:rPr>
          <w:b/>
          <w:bCs/>
        </w:rPr>
      </w:pPr>
      <w:r w:rsidRPr="00C721EF">
        <w:rPr>
          <w:b/>
          <w:bCs/>
        </w:rPr>
        <w:t>3. Data Source and Scope</w:t>
      </w:r>
    </w:p>
    <w:p w14:paraId="4B0C7C5F"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The project uses the European Social Survey Round 11 Integrated Dataset, Edition 4.2, covering the 2023/24 survey period.</w:t>
      </w:r>
    </w:p>
    <w:p w14:paraId="390C305D"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The uploaded dataset contains 50,116 respondent records and includes variables relating to country, age, gender, educational attainment, political interest, trust in politicians, voting, contacting politicians, online political activity and survey weights.</w:t>
      </w:r>
    </w:p>
    <w:p w14:paraId="23A8302F"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Respondents were divided into two age groups:</w:t>
      </w:r>
    </w:p>
    <w:p w14:paraId="064D5119" w14:textId="77777777" w:rsidR="00C721EF" w:rsidRPr="00C721EF" w:rsidRDefault="00C721EF" w:rsidP="00916C48">
      <w:pPr>
        <w:numPr>
          <w:ilvl w:val="0"/>
          <w:numId w:val="2"/>
        </w:numPr>
        <w:spacing w:line="360" w:lineRule="auto"/>
        <w:jc w:val="both"/>
        <w:rPr>
          <w:rFonts w:ascii="Times New Roman" w:hAnsi="Times New Roman" w:cs="Times New Roman"/>
        </w:rPr>
      </w:pPr>
      <w:r w:rsidRPr="00C721EF">
        <w:rPr>
          <w:rFonts w:ascii="Times New Roman" w:hAnsi="Times New Roman" w:cs="Times New Roman"/>
          <w:b/>
          <w:bCs/>
        </w:rPr>
        <w:t>Young adults:</w:t>
      </w:r>
      <w:r w:rsidRPr="00C721EF">
        <w:rPr>
          <w:rFonts w:ascii="Times New Roman" w:hAnsi="Times New Roman" w:cs="Times New Roman"/>
        </w:rPr>
        <w:t xml:space="preserve"> 18–29 years</w:t>
      </w:r>
    </w:p>
    <w:p w14:paraId="5F2CCD46" w14:textId="77777777" w:rsidR="00C721EF" w:rsidRPr="00C721EF" w:rsidRDefault="00C721EF" w:rsidP="00916C48">
      <w:pPr>
        <w:numPr>
          <w:ilvl w:val="0"/>
          <w:numId w:val="2"/>
        </w:numPr>
        <w:spacing w:line="360" w:lineRule="auto"/>
        <w:jc w:val="both"/>
        <w:rPr>
          <w:rFonts w:ascii="Times New Roman" w:hAnsi="Times New Roman" w:cs="Times New Roman"/>
        </w:rPr>
      </w:pPr>
      <w:r w:rsidRPr="00C721EF">
        <w:rPr>
          <w:rFonts w:ascii="Times New Roman" w:hAnsi="Times New Roman" w:cs="Times New Roman"/>
          <w:b/>
          <w:bCs/>
        </w:rPr>
        <w:t>Older adults:</w:t>
      </w:r>
      <w:r w:rsidRPr="00C721EF">
        <w:rPr>
          <w:rFonts w:ascii="Times New Roman" w:hAnsi="Times New Roman" w:cs="Times New Roman"/>
        </w:rPr>
        <w:t xml:space="preserve"> 30 years and above</w:t>
      </w:r>
    </w:p>
    <w:p w14:paraId="54CBE22D"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lastRenderedPageBreak/>
        <w:t>The cleaned dataset contains 6,393 young adults and 42,266 older adults, giving a total of 48,659 respondents in the main age-group comparison. The remaining 1,457 records were not assigned to either group because they fell outside the defined analysis categories or lacked a usable age classification.</w:t>
      </w:r>
    </w:p>
    <w:p w14:paraId="2CB0B9D5" w14:textId="1737FC8B" w:rsidR="00C721EF" w:rsidRPr="00C721EF" w:rsidRDefault="00C721EF" w:rsidP="00916C48">
      <w:pPr>
        <w:spacing w:line="360" w:lineRule="auto"/>
        <w:jc w:val="both"/>
      </w:pPr>
      <w:r w:rsidRPr="00C721EF">
        <w:rPr>
          <w:rFonts w:ascii="Times New Roman" w:hAnsi="Times New Roman" w:cs="Times New Roman"/>
        </w:rPr>
        <w:t xml:space="preserve">The analysis pools respondents from the countries represented in the dataset. It does not assume </w:t>
      </w:r>
    </w:p>
    <w:p w14:paraId="12D5DFEC" w14:textId="2D693132" w:rsidR="00C721EF" w:rsidRPr="00C721EF" w:rsidRDefault="00C721EF" w:rsidP="00916C48">
      <w:pPr>
        <w:pStyle w:val="Heading1"/>
        <w:spacing w:line="360" w:lineRule="auto"/>
        <w:jc w:val="both"/>
        <w:rPr>
          <w:b/>
          <w:bCs/>
        </w:rPr>
      </w:pPr>
      <w:r w:rsidRPr="00C721EF">
        <w:rPr>
          <w:b/>
          <w:bCs/>
        </w:rPr>
        <w:t xml:space="preserve">4. </w:t>
      </w:r>
      <w:r w:rsidRPr="00C721EF">
        <w:rPr>
          <w:b/>
          <w:bCs/>
        </w:rPr>
        <w:t>Data Preparation and Methodology</w:t>
      </w:r>
    </w:p>
    <w:p w14:paraId="31FC1569" w14:textId="77777777" w:rsidR="00C721EF" w:rsidRPr="00C721EF" w:rsidRDefault="00C721EF" w:rsidP="00916C48">
      <w:pPr>
        <w:pStyle w:val="Heading2"/>
        <w:spacing w:line="360" w:lineRule="auto"/>
        <w:jc w:val="both"/>
      </w:pPr>
      <w:r w:rsidRPr="00C721EF">
        <w:t>4.1 Data Cleaning</w:t>
      </w:r>
    </w:p>
    <w:p w14:paraId="2ECE2B39"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 xml:space="preserve">The original dataset was retained separately from the cleaned analytical dataset. Relevant variables were </w:t>
      </w:r>
      <w:proofErr w:type="spellStart"/>
      <w:r w:rsidRPr="00C721EF">
        <w:rPr>
          <w:rFonts w:ascii="Times New Roman" w:hAnsi="Times New Roman" w:cs="Times New Roman"/>
        </w:rPr>
        <w:t>organised</w:t>
      </w:r>
      <w:proofErr w:type="spellEnd"/>
      <w:r w:rsidRPr="00C721EF">
        <w:rPr>
          <w:rFonts w:ascii="Times New Roman" w:hAnsi="Times New Roman" w:cs="Times New Roman"/>
        </w:rPr>
        <w:t xml:space="preserve"> into a structured table, including country, respondent identifier, age, age group, gender, education, political interest, trust in politicians, voting, contacting politicians, online political activity and the analysis-weight variable.</w:t>
      </w:r>
    </w:p>
    <w:p w14:paraId="365CE786"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The data preparation process involved:</w:t>
      </w:r>
    </w:p>
    <w:p w14:paraId="252AD3E7" w14:textId="77777777" w:rsidR="00C721EF" w:rsidRPr="00C721EF" w:rsidRDefault="00C721EF" w:rsidP="00916C48">
      <w:pPr>
        <w:numPr>
          <w:ilvl w:val="0"/>
          <w:numId w:val="3"/>
        </w:numPr>
        <w:spacing w:line="360" w:lineRule="auto"/>
        <w:jc w:val="both"/>
        <w:rPr>
          <w:rFonts w:ascii="Times New Roman" w:hAnsi="Times New Roman" w:cs="Times New Roman"/>
        </w:rPr>
      </w:pPr>
      <w:r w:rsidRPr="00C721EF">
        <w:rPr>
          <w:rFonts w:ascii="Times New Roman" w:hAnsi="Times New Roman" w:cs="Times New Roman"/>
        </w:rPr>
        <w:t>Selecting variables relevant to the research objectives.</w:t>
      </w:r>
    </w:p>
    <w:p w14:paraId="770FFEAF" w14:textId="77777777" w:rsidR="00C721EF" w:rsidRPr="00C721EF" w:rsidRDefault="00C721EF" w:rsidP="00916C48">
      <w:pPr>
        <w:numPr>
          <w:ilvl w:val="0"/>
          <w:numId w:val="3"/>
        </w:numPr>
        <w:spacing w:line="360" w:lineRule="auto"/>
        <w:jc w:val="both"/>
        <w:rPr>
          <w:rFonts w:ascii="Times New Roman" w:hAnsi="Times New Roman" w:cs="Times New Roman"/>
        </w:rPr>
      </w:pPr>
      <w:r w:rsidRPr="00C721EF">
        <w:rPr>
          <w:rFonts w:ascii="Times New Roman" w:hAnsi="Times New Roman" w:cs="Times New Roman"/>
        </w:rPr>
        <w:t>Creating age groups from respondents’ ages.</w:t>
      </w:r>
    </w:p>
    <w:p w14:paraId="3BAA8180" w14:textId="77777777" w:rsidR="00C721EF" w:rsidRPr="00C721EF" w:rsidRDefault="00C721EF" w:rsidP="00916C48">
      <w:pPr>
        <w:numPr>
          <w:ilvl w:val="0"/>
          <w:numId w:val="3"/>
        </w:numPr>
        <w:spacing w:line="360" w:lineRule="auto"/>
        <w:jc w:val="both"/>
        <w:rPr>
          <w:rFonts w:ascii="Times New Roman" w:hAnsi="Times New Roman" w:cs="Times New Roman"/>
        </w:rPr>
      </w:pPr>
      <w:r w:rsidRPr="00C721EF">
        <w:rPr>
          <w:rFonts w:ascii="Times New Roman" w:hAnsi="Times New Roman" w:cs="Times New Roman"/>
        </w:rPr>
        <w:t>Converting coded survey responses into readable categories.</w:t>
      </w:r>
    </w:p>
    <w:p w14:paraId="1736E425" w14:textId="77777777" w:rsidR="00C721EF" w:rsidRPr="00C721EF" w:rsidRDefault="00C721EF" w:rsidP="00916C48">
      <w:pPr>
        <w:numPr>
          <w:ilvl w:val="0"/>
          <w:numId w:val="3"/>
        </w:numPr>
        <w:spacing w:line="360" w:lineRule="auto"/>
        <w:jc w:val="both"/>
        <w:rPr>
          <w:rFonts w:ascii="Times New Roman" w:hAnsi="Times New Roman" w:cs="Times New Roman"/>
        </w:rPr>
      </w:pPr>
      <w:r w:rsidRPr="00C721EF">
        <w:rPr>
          <w:rFonts w:ascii="Times New Roman" w:hAnsi="Times New Roman" w:cs="Times New Roman"/>
        </w:rPr>
        <w:t>Treating special response codes and missing answers as missing where appropriate.</w:t>
      </w:r>
    </w:p>
    <w:p w14:paraId="2FDB0E59" w14:textId="77777777" w:rsidR="00C721EF" w:rsidRPr="00C721EF" w:rsidRDefault="00C721EF" w:rsidP="00916C48">
      <w:pPr>
        <w:numPr>
          <w:ilvl w:val="0"/>
          <w:numId w:val="3"/>
        </w:numPr>
        <w:spacing w:line="360" w:lineRule="auto"/>
        <w:jc w:val="both"/>
        <w:rPr>
          <w:rFonts w:ascii="Times New Roman" w:hAnsi="Times New Roman" w:cs="Times New Roman"/>
        </w:rPr>
      </w:pPr>
      <w:r w:rsidRPr="00C721EF">
        <w:rPr>
          <w:rFonts w:ascii="Times New Roman" w:hAnsi="Times New Roman" w:cs="Times New Roman"/>
        </w:rPr>
        <w:t>Checking data types, missing values, age-group counts and respondent identifiers.</w:t>
      </w:r>
    </w:p>
    <w:p w14:paraId="01C23AF0" w14:textId="77777777" w:rsidR="00C721EF" w:rsidRPr="00C721EF" w:rsidRDefault="00C721EF" w:rsidP="00916C48">
      <w:pPr>
        <w:numPr>
          <w:ilvl w:val="0"/>
          <w:numId w:val="3"/>
        </w:numPr>
        <w:spacing w:line="360" w:lineRule="auto"/>
        <w:jc w:val="both"/>
        <w:rPr>
          <w:rFonts w:ascii="Times New Roman" w:hAnsi="Times New Roman" w:cs="Times New Roman"/>
        </w:rPr>
      </w:pPr>
      <w:r w:rsidRPr="00C721EF">
        <w:rPr>
          <w:rFonts w:ascii="Times New Roman" w:hAnsi="Times New Roman" w:cs="Times New Roman"/>
        </w:rPr>
        <w:t>Retaining respondents with missing answers to individual questions rather than excluding them from every analysis.</w:t>
      </w:r>
    </w:p>
    <w:p w14:paraId="135BAB0F"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Missing responses were handled separately for each outcome. Consequently, the valid sample size differs across the political-interest, voting, trust, contacting-politicians and online-activity analyses.</w:t>
      </w:r>
    </w:p>
    <w:p w14:paraId="3EBE15D3" w14:textId="77777777" w:rsidR="00C721EF" w:rsidRPr="00C721EF" w:rsidRDefault="00C721EF" w:rsidP="00916C48">
      <w:pPr>
        <w:pStyle w:val="Heading2"/>
        <w:spacing w:line="360" w:lineRule="auto"/>
        <w:jc w:val="both"/>
      </w:pPr>
      <w:r w:rsidRPr="00C721EF">
        <w:lastRenderedPageBreak/>
        <w:t>4.2 Analytical Approach</w:t>
      </w:r>
    </w:p>
    <w:p w14:paraId="1D58130D"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 xml:space="preserve">Categorical outcomes were </w:t>
      </w:r>
      <w:proofErr w:type="spellStart"/>
      <w:r w:rsidRPr="00C721EF">
        <w:rPr>
          <w:rFonts w:ascii="Times New Roman" w:hAnsi="Times New Roman" w:cs="Times New Roman"/>
        </w:rPr>
        <w:t>analysed</w:t>
      </w:r>
      <w:proofErr w:type="spellEnd"/>
      <w:r w:rsidRPr="00C721EF">
        <w:rPr>
          <w:rFonts w:ascii="Times New Roman" w:hAnsi="Times New Roman" w:cs="Times New Roman"/>
        </w:rPr>
        <w:t xml:space="preserve"> by calculating the percentage distribution of valid responses within each age group. The calculations were repeated using the dataset's </w:t>
      </w:r>
      <w:proofErr w:type="spellStart"/>
      <w:r w:rsidRPr="00C721EF">
        <w:rPr>
          <w:rFonts w:ascii="Times New Roman" w:hAnsi="Times New Roman" w:cs="Times New Roman"/>
        </w:rPr>
        <w:t>Analysis_Weight</w:t>
      </w:r>
      <w:proofErr w:type="spellEnd"/>
      <w:r w:rsidRPr="00C721EF">
        <w:rPr>
          <w:rFonts w:ascii="Times New Roman" w:hAnsi="Times New Roman" w:cs="Times New Roman"/>
        </w:rPr>
        <w:t xml:space="preserve"> variable to produce weighted descriptive percentages.</w:t>
      </w:r>
    </w:p>
    <w:p w14:paraId="56DF9391"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Trust in politicians was measured on a scale from 0 to 10. Weighted mean trust scores were calculated for respondents with valid trust scores.</w:t>
      </w:r>
    </w:p>
    <w:p w14:paraId="5A2D0435"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The analysis used the following tools:</w:t>
      </w:r>
    </w:p>
    <w:p w14:paraId="0C0739A0" w14:textId="77777777" w:rsidR="00C721EF" w:rsidRPr="00C721EF" w:rsidRDefault="00C721EF" w:rsidP="00916C48">
      <w:pPr>
        <w:numPr>
          <w:ilvl w:val="0"/>
          <w:numId w:val="4"/>
        </w:numPr>
        <w:spacing w:line="360" w:lineRule="auto"/>
        <w:jc w:val="both"/>
        <w:rPr>
          <w:rFonts w:ascii="Times New Roman" w:hAnsi="Times New Roman" w:cs="Times New Roman"/>
        </w:rPr>
      </w:pPr>
      <w:r w:rsidRPr="00C721EF">
        <w:rPr>
          <w:rFonts w:ascii="Times New Roman" w:hAnsi="Times New Roman" w:cs="Times New Roman"/>
          <w:b/>
          <w:bCs/>
        </w:rPr>
        <w:t>Microsoft Excel:</w:t>
      </w:r>
      <w:r w:rsidRPr="00C721EF">
        <w:rPr>
          <w:rFonts w:ascii="Times New Roman" w:hAnsi="Times New Roman" w:cs="Times New Roman"/>
        </w:rPr>
        <w:t xml:space="preserve"> Data </w:t>
      </w:r>
      <w:proofErr w:type="spellStart"/>
      <w:r w:rsidRPr="00C721EF">
        <w:rPr>
          <w:rFonts w:ascii="Times New Roman" w:hAnsi="Times New Roman" w:cs="Times New Roman"/>
        </w:rPr>
        <w:t>organisation</w:t>
      </w:r>
      <w:proofErr w:type="spellEnd"/>
      <w:r w:rsidRPr="00C721EF">
        <w:rPr>
          <w:rFonts w:ascii="Times New Roman" w:hAnsi="Times New Roman" w:cs="Times New Roman"/>
        </w:rPr>
        <w:t>, cleaning, variable documentation and preliminary summaries.</w:t>
      </w:r>
    </w:p>
    <w:p w14:paraId="0C3A76D6" w14:textId="77777777" w:rsidR="00C721EF" w:rsidRPr="00C721EF" w:rsidRDefault="00C721EF" w:rsidP="00916C48">
      <w:pPr>
        <w:numPr>
          <w:ilvl w:val="0"/>
          <w:numId w:val="4"/>
        </w:numPr>
        <w:spacing w:line="360" w:lineRule="auto"/>
        <w:jc w:val="both"/>
        <w:rPr>
          <w:rFonts w:ascii="Times New Roman" w:hAnsi="Times New Roman" w:cs="Times New Roman"/>
        </w:rPr>
      </w:pPr>
      <w:r w:rsidRPr="00C721EF">
        <w:rPr>
          <w:rFonts w:ascii="Times New Roman" w:hAnsi="Times New Roman" w:cs="Times New Roman"/>
          <w:b/>
          <w:bCs/>
        </w:rPr>
        <w:t>SQL:</w:t>
      </w:r>
      <w:r w:rsidRPr="00C721EF">
        <w:rPr>
          <w:rFonts w:ascii="Times New Roman" w:hAnsi="Times New Roman" w:cs="Times New Roman"/>
        </w:rPr>
        <w:t xml:space="preserve"> Queries for respondent counts, age-group comparisons, response distributions and descriptive statistics.</w:t>
      </w:r>
    </w:p>
    <w:p w14:paraId="39ED9CB3" w14:textId="77777777" w:rsidR="00C721EF" w:rsidRPr="00C721EF" w:rsidRDefault="00C721EF" w:rsidP="00916C48">
      <w:pPr>
        <w:numPr>
          <w:ilvl w:val="0"/>
          <w:numId w:val="4"/>
        </w:numPr>
        <w:spacing w:line="360" w:lineRule="auto"/>
        <w:jc w:val="both"/>
        <w:rPr>
          <w:rFonts w:ascii="Times New Roman" w:hAnsi="Times New Roman" w:cs="Times New Roman"/>
        </w:rPr>
      </w:pPr>
      <w:r w:rsidRPr="00C721EF">
        <w:rPr>
          <w:rFonts w:ascii="Times New Roman" w:hAnsi="Times New Roman" w:cs="Times New Roman"/>
          <w:b/>
          <w:bCs/>
        </w:rPr>
        <w:t>Python:</w:t>
      </w:r>
      <w:r w:rsidRPr="00C721EF">
        <w:rPr>
          <w:rFonts w:ascii="Times New Roman" w:hAnsi="Times New Roman" w:cs="Times New Roman"/>
        </w:rPr>
        <w:t xml:space="preserve"> </w:t>
      </w:r>
      <w:proofErr w:type="gramStart"/>
      <w:r w:rsidRPr="00C721EF">
        <w:rPr>
          <w:rFonts w:ascii="Times New Roman" w:hAnsi="Times New Roman" w:cs="Times New Roman"/>
        </w:rPr>
        <w:t>Data validation,</w:t>
      </w:r>
      <w:proofErr w:type="gramEnd"/>
      <w:r w:rsidRPr="00C721EF">
        <w:rPr>
          <w:rFonts w:ascii="Times New Roman" w:hAnsi="Times New Roman" w:cs="Times New Roman"/>
        </w:rPr>
        <w:t xml:space="preserve"> grouped summaries and weighted calculations using Pandas and NumPy.</w:t>
      </w:r>
    </w:p>
    <w:p w14:paraId="6BA15844" w14:textId="77777777" w:rsidR="00C721EF" w:rsidRPr="00C721EF" w:rsidRDefault="00C721EF" w:rsidP="00916C48">
      <w:pPr>
        <w:numPr>
          <w:ilvl w:val="0"/>
          <w:numId w:val="4"/>
        </w:numPr>
        <w:spacing w:line="360" w:lineRule="auto"/>
        <w:jc w:val="both"/>
        <w:rPr>
          <w:rFonts w:ascii="Times New Roman" w:hAnsi="Times New Roman" w:cs="Times New Roman"/>
        </w:rPr>
      </w:pPr>
      <w:r w:rsidRPr="00C721EF">
        <w:rPr>
          <w:rFonts w:ascii="Times New Roman" w:hAnsi="Times New Roman" w:cs="Times New Roman"/>
          <w:b/>
          <w:bCs/>
        </w:rPr>
        <w:t>Matplotlib and Seaborn:</w:t>
      </w:r>
      <w:r w:rsidRPr="00C721EF">
        <w:rPr>
          <w:rFonts w:ascii="Times New Roman" w:hAnsi="Times New Roman" w:cs="Times New Roman"/>
        </w:rPr>
        <w:t xml:space="preserve"> Statistical </w:t>
      </w:r>
      <w:proofErr w:type="spellStart"/>
      <w:r w:rsidRPr="00C721EF">
        <w:rPr>
          <w:rFonts w:ascii="Times New Roman" w:hAnsi="Times New Roman" w:cs="Times New Roman"/>
        </w:rPr>
        <w:t>visualisation</w:t>
      </w:r>
      <w:proofErr w:type="spellEnd"/>
      <w:r w:rsidRPr="00C721EF">
        <w:rPr>
          <w:rFonts w:ascii="Times New Roman" w:hAnsi="Times New Roman" w:cs="Times New Roman"/>
        </w:rPr>
        <w:t>.</w:t>
      </w:r>
    </w:p>
    <w:p w14:paraId="27C40F5B" w14:textId="77777777" w:rsidR="00C721EF" w:rsidRPr="00C721EF" w:rsidRDefault="00C721EF" w:rsidP="00916C48">
      <w:pPr>
        <w:numPr>
          <w:ilvl w:val="0"/>
          <w:numId w:val="4"/>
        </w:numPr>
        <w:spacing w:line="360" w:lineRule="auto"/>
        <w:jc w:val="both"/>
        <w:rPr>
          <w:rFonts w:ascii="Times New Roman" w:hAnsi="Times New Roman" w:cs="Times New Roman"/>
        </w:rPr>
      </w:pPr>
      <w:r w:rsidRPr="00C721EF">
        <w:rPr>
          <w:rFonts w:ascii="Times New Roman" w:hAnsi="Times New Roman" w:cs="Times New Roman"/>
          <w:b/>
          <w:bCs/>
        </w:rPr>
        <w:t>Microsoft Power BI:</w:t>
      </w:r>
      <w:r w:rsidRPr="00C721EF">
        <w:rPr>
          <w:rFonts w:ascii="Times New Roman" w:hAnsi="Times New Roman" w:cs="Times New Roman"/>
        </w:rPr>
        <w:t xml:space="preserve"> Dashboard development and comparison of political participation indicators.</w:t>
      </w:r>
    </w:p>
    <w:p w14:paraId="278DEA34"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The findings presented below use weighted descriptive summaries. They are not tests of statistical significance and do not establish causal relationships.</w:t>
      </w:r>
    </w:p>
    <w:p w14:paraId="0A5EA60F" w14:textId="77777777" w:rsidR="00C721EF" w:rsidRPr="00C721EF" w:rsidRDefault="00C721EF" w:rsidP="00916C48">
      <w:pPr>
        <w:pStyle w:val="Heading1"/>
        <w:spacing w:line="360" w:lineRule="auto"/>
        <w:jc w:val="both"/>
        <w:rPr>
          <w:b/>
          <w:bCs/>
        </w:rPr>
      </w:pPr>
      <w:r w:rsidRPr="00C721EF">
        <w:rPr>
          <w:b/>
          <w:bCs/>
        </w:rPr>
        <w:t>5. Key Findings</w:t>
      </w:r>
    </w:p>
    <w:p w14:paraId="6C1546C4" w14:textId="77777777" w:rsidR="00C721EF" w:rsidRPr="00C721EF" w:rsidRDefault="00C721EF" w:rsidP="00916C48">
      <w:pPr>
        <w:pStyle w:val="Heading2"/>
        <w:spacing w:line="360" w:lineRule="auto"/>
        <w:jc w:val="both"/>
      </w:pPr>
      <w:r w:rsidRPr="00C721EF">
        <w:t>5.1 Political Interest</w:t>
      </w:r>
    </w:p>
    <w:p w14:paraId="0748CBB0"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Political interest differed between young adults and older adults.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221"/>
        <w:gridCol w:w="1955"/>
      </w:tblGrid>
      <w:tr w:rsidR="00C721EF" w:rsidRPr="00C721EF" w14:paraId="65F57F1D" w14:textId="77777777">
        <w:trPr>
          <w:tblCellSpacing w:w="15" w:type="dxa"/>
        </w:trPr>
        <w:tc>
          <w:tcPr>
            <w:tcW w:w="0" w:type="auto"/>
            <w:vAlign w:val="center"/>
            <w:hideMark/>
          </w:tcPr>
          <w:p w14:paraId="0EBAC36E"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Political interest</w:t>
            </w:r>
          </w:p>
        </w:tc>
        <w:tc>
          <w:tcPr>
            <w:tcW w:w="0" w:type="auto"/>
            <w:vAlign w:val="center"/>
            <w:hideMark/>
          </w:tcPr>
          <w:p w14:paraId="2DE8180C"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Young adults (18–29)</w:t>
            </w:r>
          </w:p>
        </w:tc>
        <w:tc>
          <w:tcPr>
            <w:tcW w:w="0" w:type="auto"/>
            <w:vAlign w:val="center"/>
            <w:hideMark/>
          </w:tcPr>
          <w:p w14:paraId="3BEF49F8"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Older adults (30+)</w:t>
            </w:r>
          </w:p>
        </w:tc>
      </w:tr>
      <w:tr w:rsidR="00C721EF" w:rsidRPr="00C721EF" w14:paraId="40F30D7B" w14:textId="77777777">
        <w:trPr>
          <w:tblCellSpacing w:w="15" w:type="dxa"/>
        </w:trPr>
        <w:tc>
          <w:tcPr>
            <w:tcW w:w="0" w:type="auto"/>
            <w:vAlign w:val="center"/>
            <w:hideMark/>
          </w:tcPr>
          <w:p w14:paraId="161A7B71"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Hardly interested</w:t>
            </w:r>
          </w:p>
        </w:tc>
        <w:tc>
          <w:tcPr>
            <w:tcW w:w="0" w:type="auto"/>
            <w:vAlign w:val="center"/>
            <w:hideMark/>
          </w:tcPr>
          <w:p w14:paraId="10FE53DA"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40.35%</w:t>
            </w:r>
          </w:p>
        </w:tc>
        <w:tc>
          <w:tcPr>
            <w:tcW w:w="0" w:type="auto"/>
            <w:vAlign w:val="center"/>
            <w:hideMark/>
          </w:tcPr>
          <w:p w14:paraId="07E395B6"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33.45%</w:t>
            </w:r>
          </w:p>
        </w:tc>
      </w:tr>
      <w:tr w:rsidR="00C721EF" w:rsidRPr="00C721EF" w14:paraId="4D8CF338" w14:textId="77777777">
        <w:trPr>
          <w:tblCellSpacing w:w="15" w:type="dxa"/>
        </w:trPr>
        <w:tc>
          <w:tcPr>
            <w:tcW w:w="0" w:type="auto"/>
            <w:vAlign w:val="center"/>
            <w:hideMark/>
          </w:tcPr>
          <w:p w14:paraId="47590186"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lastRenderedPageBreak/>
              <w:t>Not at all interested</w:t>
            </w:r>
          </w:p>
        </w:tc>
        <w:tc>
          <w:tcPr>
            <w:tcW w:w="0" w:type="auto"/>
            <w:vAlign w:val="center"/>
            <w:hideMark/>
          </w:tcPr>
          <w:p w14:paraId="3C9C435A"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22.91%</w:t>
            </w:r>
          </w:p>
        </w:tc>
        <w:tc>
          <w:tcPr>
            <w:tcW w:w="0" w:type="auto"/>
            <w:vAlign w:val="center"/>
            <w:hideMark/>
          </w:tcPr>
          <w:p w14:paraId="51D0AD16"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19.18%</w:t>
            </w:r>
          </w:p>
        </w:tc>
      </w:tr>
      <w:tr w:rsidR="00C721EF" w:rsidRPr="00C721EF" w14:paraId="64B5A765" w14:textId="77777777">
        <w:trPr>
          <w:tblCellSpacing w:w="15" w:type="dxa"/>
        </w:trPr>
        <w:tc>
          <w:tcPr>
            <w:tcW w:w="0" w:type="auto"/>
            <w:vAlign w:val="center"/>
            <w:hideMark/>
          </w:tcPr>
          <w:p w14:paraId="335B7719"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Quite interested</w:t>
            </w:r>
          </w:p>
        </w:tc>
        <w:tc>
          <w:tcPr>
            <w:tcW w:w="0" w:type="auto"/>
            <w:vAlign w:val="center"/>
            <w:hideMark/>
          </w:tcPr>
          <w:p w14:paraId="56F4C60F"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26.84%</w:t>
            </w:r>
          </w:p>
        </w:tc>
        <w:tc>
          <w:tcPr>
            <w:tcW w:w="0" w:type="auto"/>
            <w:vAlign w:val="center"/>
            <w:hideMark/>
          </w:tcPr>
          <w:p w14:paraId="075F0E56"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33.05%</w:t>
            </w:r>
          </w:p>
        </w:tc>
      </w:tr>
      <w:tr w:rsidR="00C721EF" w:rsidRPr="00C721EF" w14:paraId="4D889DB8" w14:textId="77777777">
        <w:trPr>
          <w:tblCellSpacing w:w="15" w:type="dxa"/>
        </w:trPr>
        <w:tc>
          <w:tcPr>
            <w:tcW w:w="0" w:type="auto"/>
            <w:vAlign w:val="center"/>
            <w:hideMark/>
          </w:tcPr>
          <w:p w14:paraId="27E3C9B3"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Very interested</w:t>
            </w:r>
          </w:p>
        </w:tc>
        <w:tc>
          <w:tcPr>
            <w:tcW w:w="0" w:type="auto"/>
            <w:vAlign w:val="center"/>
            <w:hideMark/>
          </w:tcPr>
          <w:p w14:paraId="68BDA31A"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9.90%</w:t>
            </w:r>
          </w:p>
        </w:tc>
        <w:tc>
          <w:tcPr>
            <w:tcW w:w="0" w:type="auto"/>
            <w:vAlign w:val="center"/>
            <w:hideMark/>
          </w:tcPr>
          <w:p w14:paraId="4E271CCC"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14.32%</w:t>
            </w:r>
          </w:p>
        </w:tc>
      </w:tr>
    </w:tbl>
    <w:p w14:paraId="0D176CFF"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 xml:space="preserve">Young adults had larger proportions in the hardly interested and not at all interested categories. Older adults had larger proportions in the quite </w:t>
      </w:r>
      <w:proofErr w:type="gramStart"/>
      <w:r w:rsidRPr="00C721EF">
        <w:rPr>
          <w:rFonts w:ascii="Times New Roman" w:hAnsi="Times New Roman" w:cs="Times New Roman"/>
        </w:rPr>
        <w:t>interested</w:t>
      </w:r>
      <w:proofErr w:type="gramEnd"/>
      <w:r w:rsidRPr="00C721EF">
        <w:rPr>
          <w:rFonts w:ascii="Times New Roman" w:hAnsi="Times New Roman" w:cs="Times New Roman"/>
        </w:rPr>
        <w:t xml:space="preserve"> and very interested categories.</w:t>
      </w:r>
    </w:p>
    <w:p w14:paraId="56BD1B3F"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 xml:space="preserve">These results indicate that reported political interest was lower among young adults in the </w:t>
      </w:r>
      <w:proofErr w:type="spellStart"/>
      <w:r w:rsidRPr="00C721EF">
        <w:rPr>
          <w:rFonts w:ascii="Times New Roman" w:hAnsi="Times New Roman" w:cs="Times New Roman"/>
        </w:rPr>
        <w:t>analysed</w:t>
      </w:r>
      <w:proofErr w:type="spellEnd"/>
      <w:r w:rsidRPr="00C721EF">
        <w:rPr>
          <w:rFonts w:ascii="Times New Roman" w:hAnsi="Times New Roman" w:cs="Times New Roman"/>
        </w:rPr>
        <w:t xml:space="preserve"> sample. However, political interest alone does not determine whether an individual participates in political activities.</w:t>
      </w:r>
    </w:p>
    <w:p w14:paraId="2FCB2AF6" w14:textId="77777777" w:rsidR="00C721EF" w:rsidRPr="00C721EF" w:rsidRDefault="00C721EF" w:rsidP="00916C48">
      <w:pPr>
        <w:pStyle w:val="Heading2"/>
        <w:spacing w:line="360" w:lineRule="auto"/>
        <w:jc w:val="both"/>
      </w:pPr>
      <w:r w:rsidRPr="00C721EF">
        <w:t xml:space="preserve">5.2 Voting </w:t>
      </w:r>
      <w:proofErr w:type="spellStart"/>
      <w:r w:rsidRPr="00C721EF">
        <w:t>Behaviour</w:t>
      </w:r>
      <w:proofErr w:type="spellEnd"/>
    </w:p>
    <w:p w14:paraId="203BE880"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 xml:space="preserve">Reported voting </w:t>
      </w:r>
      <w:proofErr w:type="spellStart"/>
      <w:r w:rsidRPr="00C721EF">
        <w:rPr>
          <w:rFonts w:ascii="Times New Roman" w:hAnsi="Times New Roman" w:cs="Times New Roman"/>
        </w:rPr>
        <w:t>behaviour</w:t>
      </w:r>
      <w:proofErr w:type="spellEnd"/>
      <w:r w:rsidRPr="00C721EF">
        <w:rPr>
          <w:rFonts w:ascii="Times New Roman" w:hAnsi="Times New Roman" w:cs="Times New Roman"/>
        </w:rPr>
        <w:t xml:space="preserve"> also differed between the two age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221"/>
        <w:gridCol w:w="1955"/>
      </w:tblGrid>
      <w:tr w:rsidR="00C721EF" w:rsidRPr="00C721EF" w14:paraId="05937AAF" w14:textId="77777777">
        <w:trPr>
          <w:tblCellSpacing w:w="15" w:type="dxa"/>
        </w:trPr>
        <w:tc>
          <w:tcPr>
            <w:tcW w:w="0" w:type="auto"/>
            <w:vAlign w:val="center"/>
            <w:hideMark/>
          </w:tcPr>
          <w:p w14:paraId="355334C4"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Voting response</w:t>
            </w:r>
          </w:p>
        </w:tc>
        <w:tc>
          <w:tcPr>
            <w:tcW w:w="0" w:type="auto"/>
            <w:vAlign w:val="center"/>
            <w:hideMark/>
          </w:tcPr>
          <w:p w14:paraId="541C1ADE"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Young adults (18–29)</w:t>
            </w:r>
          </w:p>
        </w:tc>
        <w:tc>
          <w:tcPr>
            <w:tcW w:w="0" w:type="auto"/>
            <w:vAlign w:val="center"/>
            <w:hideMark/>
          </w:tcPr>
          <w:p w14:paraId="553FA46B"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Older adults (30+)</w:t>
            </w:r>
          </w:p>
        </w:tc>
      </w:tr>
      <w:tr w:rsidR="00C721EF" w:rsidRPr="00C721EF" w14:paraId="238809D8" w14:textId="77777777">
        <w:trPr>
          <w:tblCellSpacing w:w="15" w:type="dxa"/>
        </w:trPr>
        <w:tc>
          <w:tcPr>
            <w:tcW w:w="0" w:type="auto"/>
            <w:vAlign w:val="center"/>
            <w:hideMark/>
          </w:tcPr>
          <w:p w14:paraId="05D64EF0"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Yes</w:t>
            </w:r>
          </w:p>
        </w:tc>
        <w:tc>
          <w:tcPr>
            <w:tcW w:w="0" w:type="auto"/>
            <w:vAlign w:val="center"/>
            <w:hideMark/>
          </w:tcPr>
          <w:p w14:paraId="099F0BFB"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49.29%</w:t>
            </w:r>
          </w:p>
        </w:tc>
        <w:tc>
          <w:tcPr>
            <w:tcW w:w="0" w:type="auto"/>
            <w:vAlign w:val="center"/>
            <w:hideMark/>
          </w:tcPr>
          <w:p w14:paraId="359B57E7"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75.24%</w:t>
            </w:r>
          </w:p>
        </w:tc>
      </w:tr>
      <w:tr w:rsidR="00C721EF" w:rsidRPr="00C721EF" w14:paraId="3673902C" w14:textId="77777777">
        <w:trPr>
          <w:tblCellSpacing w:w="15" w:type="dxa"/>
        </w:trPr>
        <w:tc>
          <w:tcPr>
            <w:tcW w:w="0" w:type="auto"/>
            <w:vAlign w:val="center"/>
            <w:hideMark/>
          </w:tcPr>
          <w:p w14:paraId="34EE5D8A"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No</w:t>
            </w:r>
          </w:p>
        </w:tc>
        <w:tc>
          <w:tcPr>
            <w:tcW w:w="0" w:type="auto"/>
            <w:vAlign w:val="center"/>
            <w:hideMark/>
          </w:tcPr>
          <w:p w14:paraId="37874835"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30.20%</w:t>
            </w:r>
          </w:p>
        </w:tc>
        <w:tc>
          <w:tcPr>
            <w:tcW w:w="0" w:type="auto"/>
            <w:vAlign w:val="center"/>
            <w:hideMark/>
          </w:tcPr>
          <w:p w14:paraId="5BE9E142"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20.75%</w:t>
            </w:r>
          </w:p>
        </w:tc>
      </w:tr>
      <w:tr w:rsidR="00C721EF" w:rsidRPr="00C721EF" w14:paraId="46B56E7E" w14:textId="77777777">
        <w:trPr>
          <w:tblCellSpacing w:w="15" w:type="dxa"/>
        </w:trPr>
        <w:tc>
          <w:tcPr>
            <w:tcW w:w="0" w:type="auto"/>
            <w:vAlign w:val="center"/>
            <w:hideMark/>
          </w:tcPr>
          <w:p w14:paraId="0A6EB0BE"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Not eligible</w:t>
            </w:r>
          </w:p>
        </w:tc>
        <w:tc>
          <w:tcPr>
            <w:tcW w:w="0" w:type="auto"/>
            <w:vAlign w:val="center"/>
            <w:hideMark/>
          </w:tcPr>
          <w:p w14:paraId="537F2ACF"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20.51%</w:t>
            </w:r>
          </w:p>
        </w:tc>
        <w:tc>
          <w:tcPr>
            <w:tcW w:w="0" w:type="auto"/>
            <w:vAlign w:val="center"/>
            <w:hideMark/>
          </w:tcPr>
          <w:p w14:paraId="509A3378"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4.01%</w:t>
            </w:r>
          </w:p>
        </w:tc>
      </w:tr>
    </w:tbl>
    <w:p w14:paraId="395CA0D4"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The weighted proportion reporting that they voted in the last national election was higher among older adults than young adults. Young adults also had a substantially higher proportion reporting that they were not eligible to vote.</w:t>
      </w:r>
    </w:p>
    <w:p w14:paraId="3192C2AD"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Eligibility is important when interpreting these results. The percentages describe the distribution of reported responses, including ineligible respondents; they should not be interpreted as turnout rates among eligible voters.</w:t>
      </w:r>
    </w:p>
    <w:p w14:paraId="664342A2" w14:textId="77777777" w:rsidR="00C721EF" w:rsidRPr="00C721EF" w:rsidRDefault="00C721EF" w:rsidP="00916C48">
      <w:pPr>
        <w:pStyle w:val="Heading2"/>
        <w:spacing w:line="360" w:lineRule="auto"/>
        <w:jc w:val="both"/>
      </w:pPr>
      <w:r w:rsidRPr="00C721EF">
        <w:t>5.3 Trust in Politicians</w:t>
      </w:r>
    </w:p>
    <w:p w14:paraId="3D602E3F"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Trust in politicians was measured on a scale ranging from 0 to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2221"/>
        <w:gridCol w:w="1955"/>
      </w:tblGrid>
      <w:tr w:rsidR="00C721EF" w:rsidRPr="00C721EF" w14:paraId="6F22E382" w14:textId="77777777">
        <w:trPr>
          <w:tblCellSpacing w:w="15" w:type="dxa"/>
        </w:trPr>
        <w:tc>
          <w:tcPr>
            <w:tcW w:w="0" w:type="auto"/>
            <w:vAlign w:val="center"/>
            <w:hideMark/>
          </w:tcPr>
          <w:p w14:paraId="2DDB0838"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Measure</w:t>
            </w:r>
          </w:p>
        </w:tc>
        <w:tc>
          <w:tcPr>
            <w:tcW w:w="0" w:type="auto"/>
            <w:vAlign w:val="center"/>
            <w:hideMark/>
          </w:tcPr>
          <w:p w14:paraId="46D7244F"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Young adults (18–29)</w:t>
            </w:r>
          </w:p>
        </w:tc>
        <w:tc>
          <w:tcPr>
            <w:tcW w:w="0" w:type="auto"/>
            <w:vAlign w:val="center"/>
            <w:hideMark/>
          </w:tcPr>
          <w:p w14:paraId="4698CDFB"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Older adults (30+)</w:t>
            </w:r>
          </w:p>
        </w:tc>
      </w:tr>
      <w:tr w:rsidR="00C721EF" w:rsidRPr="00C721EF" w14:paraId="198698DE" w14:textId="77777777">
        <w:trPr>
          <w:tblCellSpacing w:w="15" w:type="dxa"/>
        </w:trPr>
        <w:tc>
          <w:tcPr>
            <w:tcW w:w="0" w:type="auto"/>
            <w:vAlign w:val="center"/>
            <w:hideMark/>
          </w:tcPr>
          <w:p w14:paraId="287EDD73"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lastRenderedPageBreak/>
              <w:t xml:space="preserve">Weighted </w:t>
            </w:r>
            <w:proofErr w:type="gramStart"/>
            <w:r w:rsidRPr="00C721EF">
              <w:rPr>
                <w:rFonts w:ascii="Times New Roman" w:hAnsi="Times New Roman" w:cs="Times New Roman"/>
              </w:rPr>
              <w:t>mean</w:t>
            </w:r>
            <w:proofErr w:type="gramEnd"/>
            <w:r w:rsidRPr="00C721EF">
              <w:rPr>
                <w:rFonts w:ascii="Times New Roman" w:hAnsi="Times New Roman" w:cs="Times New Roman"/>
              </w:rPr>
              <w:t xml:space="preserve"> trust score</w:t>
            </w:r>
          </w:p>
        </w:tc>
        <w:tc>
          <w:tcPr>
            <w:tcW w:w="0" w:type="auto"/>
            <w:vAlign w:val="center"/>
            <w:hideMark/>
          </w:tcPr>
          <w:p w14:paraId="26025BEC"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3.48</w:t>
            </w:r>
          </w:p>
        </w:tc>
        <w:tc>
          <w:tcPr>
            <w:tcW w:w="0" w:type="auto"/>
            <w:vAlign w:val="center"/>
            <w:hideMark/>
          </w:tcPr>
          <w:p w14:paraId="438D29BA"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3.30</w:t>
            </w:r>
          </w:p>
        </w:tc>
      </w:tr>
      <w:tr w:rsidR="00C721EF" w:rsidRPr="00C721EF" w14:paraId="1019A01E" w14:textId="77777777">
        <w:trPr>
          <w:tblCellSpacing w:w="15" w:type="dxa"/>
        </w:trPr>
        <w:tc>
          <w:tcPr>
            <w:tcW w:w="0" w:type="auto"/>
            <w:vAlign w:val="center"/>
            <w:hideMark/>
          </w:tcPr>
          <w:p w14:paraId="5BA33D63"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Valid responses</w:t>
            </w:r>
          </w:p>
        </w:tc>
        <w:tc>
          <w:tcPr>
            <w:tcW w:w="0" w:type="auto"/>
            <w:vAlign w:val="center"/>
            <w:hideMark/>
          </w:tcPr>
          <w:p w14:paraId="2076D669"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6,250</w:t>
            </w:r>
          </w:p>
        </w:tc>
        <w:tc>
          <w:tcPr>
            <w:tcW w:w="0" w:type="auto"/>
            <w:vAlign w:val="center"/>
            <w:hideMark/>
          </w:tcPr>
          <w:p w14:paraId="0A0C2CA6"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41,694</w:t>
            </w:r>
          </w:p>
        </w:tc>
      </w:tr>
    </w:tbl>
    <w:p w14:paraId="42206123"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Young adults had a slightly higher weighted mean trust score than older adults. However, both averages were relatively low on the 0–10 scale. The difference is modest and should not be overstated.</w:t>
      </w:r>
    </w:p>
    <w:p w14:paraId="6F3B4511" w14:textId="77777777" w:rsidR="00C721EF" w:rsidRPr="00C721EF" w:rsidRDefault="00C721EF" w:rsidP="00916C48">
      <w:pPr>
        <w:pStyle w:val="Heading2"/>
        <w:spacing w:line="360" w:lineRule="auto"/>
        <w:jc w:val="both"/>
      </w:pPr>
      <w:r w:rsidRPr="00C721EF">
        <w:t>5.4 Contacting Politicians</w:t>
      </w:r>
    </w:p>
    <w:p w14:paraId="4FD596B5"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The weighted proportions reporting that they contacted a politician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221"/>
        <w:gridCol w:w="1955"/>
      </w:tblGrid>
      <w:tr w:rsidR="00C721EF" w:rsidRPr="00C721EF" w14:paraId="6D599274" w14:textId="77777777">
        <w:trPr>
          <w:tblCellSpacing w:w="15" w:type="dxa"/>
        </w:trPr>
        <w:tc>
          <w:tcPr>
            <w:tcW w:w="0" w:type="auto"/>
            <w:vAlign w:val="center"/>
            <w:hideMark/>
          </w:tcPr>
          <w:p w14:paraId="50038F92"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Response</w:t>
            </w:r>
          </w:p>
        </w:tc>
        <w:tc>
          <w:tcPr>
            <w:tcW w:w="0" w:type="auto"/>
            <w:vAlign w:val="center"/>
            <w:hideMark/>
          </w:tcPr>
          <w:p w14:paraId="33A7AA82"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Young adults (18–29)</w:t>
            </w:r>
          </w:p>
        </w:tc>
        <w:tc>
          <w:tcPr>
            <w:tcW w:w="0" w:type="auto"/>
            <w:vAlign w:val="center"/>
            <w:hideMark/>
          </w:tcPr>
          <w:p w14:paraId="4245083B"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Older adults (30+)</w:t>
            </w:r>
          </w:p>
        </w:tc>
      </w:tr>
      <w:tr w:rsidR="00C721EF" w:rsidRPr="00C721EF" w14:paraId="61FF7628" w14:textId="77777777">
        <w:trPr>
          <w:tblCellSpacing w:w="15" w:type="dxa"/>
        </w:trPr>
        <w:tc>
          <w:tcPr>
            <w:tcW w:w="0" w:type="auto"/>
            <w:vAlign w:val="center"/>
            <w:hideMark/>
          </w:tcPr>
          <w:p w14:paraId="20544FDF"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Yes</w:t>
            </w:r>
          </w:p>
        </w:tc>
        <w:tc>
          <w:tcPr>
            <w:tcW w:w="0" w:type="auto"/>
            <w:vAlign w:val="center"/>
            <w:hideMark/>
          </w:tcPr>
          <w:p w14:paraId="5D88EEDC"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8.85%</w:t>
            </w:r>
          </w:p>
        </w:tc>
        <w:tc>
          <w:tcPr>
            <w:tcW w:w="0" w:type="auto"/>
            <w:vAlign w:val="center"/>
            <w:hideMark/>
          </w:tcPr>
          <w:p w14:paraId="69404762"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14.98%</w:t>
            </w:r>
          </w:p>
        </w:tc>
      </w:tr>
      <w:tr w:rsidR="00C721EF" w:rsidRPr="00C721EF" w14:paraId="621C49FF" w14:textId="77777777">
        <w:trPr>
          <w:tblCellSpacing w:w="15" w:type="dxa"/>
        </w:trPr>
        <w:tc>
          <w:tcPr>
            <w:tcW w:w="0" w:type="auto"/>
            <w:vAlign w:val="center"/>
            <w:hideMark/>
          </w:tcPr>
          <w:p w14:paraId="2064CA87"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No</w:t>
            </w:r>
          </w:p>
        </w:tc>
        <w:tc>
          <w:tcPr>
            <w:tcW w:w="0" w:type="auto"/>
            <w:vAlign w:val="center"/>
            <w:hideMark/>
          </w:tcPr>
          <w:p w14:paraId="55BA6965"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91.15%</w:t>
            </w:r>
          </w:p>
        </w:tc>
        <w:tc>
          <w:tcPr>
            <w:tcW w:w="0" w:type="auto"/>
            <w:vAlign w:val="center"/>
            <w:hideMark/>
          </w:tcPr>
          <w:p w14:paraId="6B6A250D"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85.02%</w:t>
            </w:r>
          </w:p>
        </w:tc>
      </w:tr>
    </w:tbl>
    <w:p w14:paraId="724FB997"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Older adults were more likely to report contacting a politician. Direct contact with politicians was relatively uncommon in both age groups, particularly among young adults.</w:t>
      </w:r>
    </w:p>
    <w:p w14:paraId="778FBCA7"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This measure captures one form of political participation and does not represent every way in which respondents may engage with politics.</w:t>
      </w:r>
    </w:p>
    <w:p w14:paraId="60455AF6" w14:textId="77777777" w:rsidR="00C721EF" w:rsidRPr="00C721EF" w:rsidRDefault="00C721EF" w:rsidP="00916C48">
      <w:pPr>
        <w:pStyle w:val="Heading2"/>
        <w:spacing w:line="360" w:lineRule="auto"/>
        <w:jc w:val="both"/>
      </w:pPr>
      <w:r w:rsidRPr="00C721EF">
        <w:t>5.5 Online Political Activity</w:t>
      </w:r>
    </w:p>
    <w:p w14:paraId="5FBF78CA"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Online political activity showed a different pattern from voting and direct contact.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221"/>
        <w:gridCol w:w="1955"/>
      </w:tblGrid>
      <w:tr w:rsidR="00C721EF" w:rsidRPr="00C721EF" w14:paraId="6ABC82B7" w14:textId="77777777">
        <w:trPr>
          <w:tblCellSpacing w:w="15" w:type="dxa"/>
        </w:trPr>
        <w:tc>
          <w:tcPr>
            <w:tcW w:w="0" w:type="auto"/>
            <w:vAlign w:val="center"/>
            <w:hideMark/>
          </w:tcPr>
          <w:p w14:paraId="4F89CD06"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Response</w:t>
            </w:r>
          </w:p>
        </w:tc>
        <w:tc>
          <w:tcPr>
            <w:tcW w:w="0" w:type="auto"/>
            <w:vAlign w:val="center"/>
            <w:hideMark/>
          </w:tcPr>
          <w:p w14:paraId="748B51BE"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Young adults (18–29)</w:t>
            </w:r>
          </w:p>
        </w:tc>
        <w:tc>
          <w:tcPr>
            <w:tcW w:w="0" w:type="auto"/>
            <w:vAlign w:val="center"/>
            <w:hideMark/>
          </w:tcPr>
          <w:p w14:paraId="1FCBDBD0" w14:textId="77777777" w:rsidR="00C721EF" w:rsidRPr="00C721EF" w:rsidRDefault="00C721EF" w:rsidP="00916C48">
            <w:pPr>
              <w:spacing w:line="360" w:lineRule="auto"/>
              <w:jc w:val="both"/>
              <w:rPr>
                <w:rFonts w:ascii="Times New Roman" w:hAnsi="Times New Roman" w:cs="Times New Roman"/>
                <w:b/>
                <w:bCs/>
              </w:rPr>
            </w:pPr>
            <w:r w:rsidRPr="00C721EF">
              <w:rPr>
                <w:rFonts w:ascii="Times New Roman" w:hAnsi="Times New Roman" w:cs="Times New Roman"/>
                <w:b/>
                <w:bCs/>
              </w:rPr>
              <w:t>Older adults (30+)</w:t>
            </w:r>
          </w:p>
        </w:tc>
      </w:tr>
      <w:tr w:rsidR="00C721EF" w:rsidRPr="00C721EF" w14:paraId="70185CB4" w14:textId="77777777">
        <w:trPr>
          <w:tblCellSpacing w:w="15" w:type="dxa"/>
        </w:trPr>
        <w:tc>
          <w:tcPr>
            <w:tcW w:w="0" w:type="auto"/>
            <w:vAlign w:val="center"/>
            <w:hideMark/>
          </w:tcPr>
          <w:p w14:paraId="5CEFA39C"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Yes</w:t>
            </w:r>
          </w:p>
        </w:tc>
        <w:tc>
          <w:tcPr>
            <w:tcW w:w="0" w:type="auto"/>
            <w:vAlign w:val="center"/>
            <w:hideMark/>
          </w:tcPr>
          <w:p w14:paraId="70647E8C"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24.06%</w:t>
            </w:r>
          </w:p>
        </w:tc>
        <w:tc>
          <w:tcPr>
            <w:tcW w:w="0" w:type="auto"/>
            <w:vAlign w:val="center"/>
            <w:hideMark/>
          </w:tcPr>
          <w:p w14:paraId="5A57A9C2"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14.87%</w:t>
            </w:r>
          </w:p>
        </w:tc>
      </w:tr>
      <w:tr w:rsidR="00C721EF" w:rsidRPr="00C721EF" w14:paraId="2395DC91" w14:textId="77777777">
        <w:trPr>
          <w:tblCellSpacing w:w="15" w:type="dxa"/>
        </w:trPr>
        <w:tc>
          <w:tcPr>
            <w:tcW w:w="0" w:type="auto"/>
            <w:vAlign w:val="center"/>
            <w:hideMark/>
          </w:tcPr>
          <w:p w14:paraId="71A94E70"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No</w:t>
            </w:r>
          </w:p>
        </w:tc>
        <w:tc>
          <w:tcPr>
            <w:tcW w:w="0" w:type="auto"/>
            <w:vAlign w:val="center"/>
            <w:hideMark/>
          </w:tcPr>
          <w:p w14:paraId="07331202"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75.94%</w:t>
            </w:r>
          </w:p>
        </w:tc>
        <w:tc>
          <w:tcPr>
            <w:tcW w:w="0" w:type="auto"/>
            <w:vAlign w:val="center"/>
            <w:hideMark/>
          </w:tcPr>
          <w:p w14:paraId="4D4678D2"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85.13%</w:t>
            </w:r>
          </w:p>
        </w:tc>
      </w:tr>
    </w:tbl>
    <w:p w14:paraId="473B7D11"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Young adults were more likely than older adults to report online political activity. This finding suggests that participation differs according to the form of engagement being measured.</w:t>
      </w:r>
    </w:p>
    <w:p w14:paraId="5039DF93"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Online activity should be considered alongside conventional indicators such as voting and contacting politicians when examining political participation among younger citizens.</w:t>
      </w:r>
    </w:p>
    <w:p w14:paraId="5742E18B" w14:textId="44AD592A" w:rsidR="00C721EF" w:rsidRDefault="00C721EF" w:rsidP="00916C48">
      <w:pPr>
        <w:pStyle w:val="Heading1"/>
        <w:numPr>
          <w:ilvl w:val="0"/>
          <w:numId w:val="1"/>
        </w:numPr>
        <w:spacing w:line="360" w:lineRule="auto"/>
        <w:jc w:val="both"/>
      </w:pPr>
      <w:r w:rsidRPr="00C721EF">
        <w:lastRenderedPageBreak/>
        <w:t>Discussion</w:t>
      </w:r>
    </w:p>
    <w:p w14:paraId="60FDAE62" w14:textId="77777777" w:rsidR="00C721EF" w:rsidRDefault="00C721EF" w:rsidP="00916C48">
      <w:pPr>
        <w:spacing w:line="360" w:lineRule="auto"/>
        <w:ind w:left="360"/>
        <w:jc w:val="both"/>
      </w:pPr>
      <w:r w:rsidRPr="00C721EF">
        <w:t xml:space="preserve">The results show that the age and political </w:t>
      </w:r>
      <w:proofErr w:type="spellStart"/>
      <w:r w:rsidRPr="00C721EF">
        <w:t>behaviour</w:t>
      </w:r>
      <w:proofErr w:type="spellEnd"/>
      <w:r w:rsidRPr="00C721EF">
        <w:t xml:space="preserve"> relationship is different across different types of political </w:t>
      </w:r>
      <w:proofErr w:type="spellStart"/>
      <w:r w:rsidRPr="00C721EF">
        <w:t>behaviour</w:t>
      </w:r>
      <w:proofErr w:type="spellEnd"/>
      <w:r w:rsidRPr="00C721EF">
        <w:t xml:space="preserve">. </w:t>
      </w:r>
    </w:p>
    <w:p w14:paraId="2AF6EB17" w14:textId="77777777" w:rsidR="005E06C5" w:rsidRDefault="00C721EF" w:rsidP="00916C48">
      <w:pPr>
        <w:spacing w:line="360" w:lineRule="auto"/>
        <w:ind w:left="360"/>
        <w:jc w:val="both"/>
      </w:pPr>
      <w:r w:rsidRPr="00C721EF">
        <w:t xml:space="preserve">Young adults had lower levels of political interest and voting participation than older adults. They were also less likely to have contacted politicians. Young adults were more likely to be involved in online political activity, however, than were older adults. Young adults had a slightly higher weighted mean score than the other group regarding average trust in politicians, but both groups had relatively low levels of trust. </w:t>
      </w:r>
    </w:p>
    <w:p w14:paraId="34C2B013" w14:textId="77777777" w:rsidR="005E06C5" w:rsidRDefault="00C721EF" w:rsidP="00916C48">
      <w:pPr>
        <w:spacing w:line="360" w:lineRule="auto"/>
        <w:ind w:left="360"/>
        <w:jc w:val="both"/>
      </w:pPr>
      <w:r w:rsidRPr="00C721EF">
        <w:t xml:space="preserve">The patterns underscore the need to consider political participation from several perspectives. Voting and traditional contact with representatives does not tell the full story about political participation. </w:t>
      </w:r>
      <w:proofErr w:type="gramStart"/>
      <w:r w:rsidRPr="00C721EF">
        <w:t>The online</w:t>
      </w:r>
      <w:proofErr w:type="gramEnd"/>
      <w:r w:rsidRPr="00C721EF">
        <w:t xml:space="preserve"> participation offers a supplement to understanding the engagement of younger citizens in politics. </w:t>
      </w:r>
    </w:p>
    <w:p w14:paraId="5BCADF6D" w14:textId="5DA597F0" w:rsidR="00C721EF" w:rsidRPr="00C721EF" w:rsidRDefault="00C721EF" w:rsidP="00916C48">
      <w:pPr>
        <w:spacing w:line="360" w:lineRule="auto"/>
        <w:ind w:left="360"/>
        <w:jc w:val="both"/>
      </w:pPr>
      <w:r w:rsidRPr="00C721EF">
        <w:t>The analysis does not attempt to explain the reason behind the differences. Factors that may also be relevant include education, national context, eligibility for the election, and other social conditions. These relationships would need to be explored further.</w:t>
      </w:r>
    </w:p>
    <w:p w14:paraId="77A961C5" w14:textId="77777777" w:rsidR="00C721EF" w:rsidRPr="00C721EF" w:rsidRDefault="00C721EF" w:rsidP="00916C48">
      <w:pPr>
        <w:pStyle w:val="Heading1"/>
        <w:spacing w:line="360" w:lineRule="auto"/>
        <w:jc w:val="both"/>
        <w:rPr>
          <w:b/>
          <w:bCs/>
        </w:rPr>
      </w:pPr>
      <w:r w:rsidRPr="00C721EF">
        <w:rPr>
          <w:b/>
          <w:bCs/>
        </w:rPr>
        <w:t>7. Limitations</w:t>
      </w:r>
    </w:p>
    <w:p w14:paraId="3818ACBE"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Several limitations should be considered when interpreting the results.</w:t>
      </w:r>
    </w:p>
    <w:p w14:paraId="25A7B756"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b/>
          <w:bCs/>
        </w:rPr>
        <w:t>Descriptive analysis:</w:t>
      </w:r>
      <w:r w:rsidRPr="00C721EF">
        <w:rPr>
          <w:rFonts w:ascii="Times New Roman" w:hAnsi="Times New Roman" w:cs="Times New Roman"/>
        </w:rPr>
        <w:t xml:space="preserve"> The project identifies patterns and differences but does not establish causation or test whether the differences are statistically significant.</w:t>
      </w:r>
    </w:p>
    <w:p w14:paraId="2E312E91"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b/>
          <w:bCs/>
        </w:rPr>
        <w:t>Survey weights:</w:t>
      </w:r>
      <w:r w:rsidRPr="00C721EF">
        <w:rPr>
          <w:rFonts w:ascii="Times New Roman" w:hAnsi="Times New Roman" w:cs="Times New Roman"/>
        </w:rPr>
        <w:t xml:space="preserve"> The weighted summaries use the dataset's </w:t>
      </w:r>
      <w:proofErr w:type="spellStart"/>
      <w:r w:rsidRPr="00C721EF">
        <w:rPr>
          <w:rFonts w:ascii="Times New Roman" w:hAnsi="Times New Roman" w:cs="Times New Roman"/>
        </w:rPr>
        <w:t>Analysis_Weight</w:t>
      </w:r>
      <w:proofErr w:type="spellEnd"/>
      <w:r w:rsidRPr="00C721EF">
        <w:rPr>
          <w:rFonts w:ascii="Times New Roman" w:hAnsi="Times New Roman" w:cs="Times New Roman"/>
        </w:rPr>
        <w:t xml:space="preserve"> variable. The results should be interpreted in accordance with the definition of that weight in the official ESS documentation. The weighting procedure does not, by itself, account for every aspect of the survey design.</w:t>
      </w:r>
    </w:p>
    <w:p w14:paraId="2FD43FBA"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b/>
          <w:bCs/>
        </w:rPr>
        <w:t>Missing responses:</w:t>
      </w:r>
      <w:r w:rsidRPr="00C721EF">
        <w:rPr>
          <w:rFonts w:ascii="Times New Roman" w:hAnsi="Times New Roman" w:cs="Times New Roman"/>
        </w:rPr>
        <w:t xml:space="preserve"> Valid-response sample sizes differ across outcomes because some respondents did not provide usable answers to every question.</w:t>
      </w:r>
    </w:p>
    <w:p w14:paraId="7C9D8E3F"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b/>
          <w:bCs/>
        </w:rPr>
        <w:lastRenderedPageBreak/>
        <w:t>Unequal group sizes:</w:t>
      </w:r>
      <w:r w:rsidRPr="00C721EF">
        <w:rPr>
          <w:rFonts w:ascii="Times New Roman" w:hAnsi="Times New Roman" w:cs="Times New Roman"/>
        </w:rPr>
        <w:t xml:space="preserve"> The dataset contains substantially more respondents aged 30 and above than respondents aged 18–29.</w:t>
      </w:r>
    </w:p>
    <w:p w14:paraId="4366F242"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b/>
          <w:bCs/>
        </w:rPr>
        <w:t>Cross-country variation:</w:t>
      </w:r>
      <w:r w:rsidRPr="00C721EF">
        <w:rPr>
          <w:rFonts w:ascii="Times New Roman" w:hAnsi="Times New Roman" w:cs="Times New Roman"/>
        </w:rPr>
        <w:t xml:space="preserve"> The main analysis pools respondents across participating countries. It does not fully investigate differences in national political systems, electoral rules or country-specific participation patterns.</w:t>
      </w:r>
    </w:p>
    <w:p w14:paraId="5F68B30E"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b/>
          <w:bCs/>
        </w:rPr>
        <w:t>Measurement scope:</w:t>
      </w:r>
      <w:r w:rsidRPr="00C721EF">
        <w:rPr>
          <w:rFonts w:ascii="Times New Roman" w:hAnsi="Times New Roman" w:cs="Times New Roman"/>
        </w:rPr>
        <w:t xml:space="preserve"> The selected variables represent specific indicators of political engagement. They do not capture every form of civic or political participation.</w:t>
      </w:r>
    </w:p>
    <w:p w14:paraId="4EA9FB33" w14:textId="77777777" w:rsidR="00C721EF" w:rsidRPr="00C721EF" w:rsidRDefault="00C721EF" w:rsidP="00916C48">
      <w:pPr>
        <w:pStyle w:val="Heading1"/>
        <w:spacing w:line="360" w:lineRule="auto"/>
        <w:jc w:val="both"/>
        <w:rPr>
          <w:b/>
          <w:bCs/>
        </w:rPr>
      </w:pPr>
      <w:r w:rsidRPr="00C721EF">
        <w:rPr>
          <w:b/>
          <w:bCs/>
        </w:rPr>
        <w:t>8. Conclusion</w:t>
      </w:r>
    </w:p>
    <w:p w14:paraId="4A13D0AB" w14:textId="77777777" w:rsidR="005E06C5" w:rsidRDefault="005E06C5" w:rsidP="00916C48">
      <w:pPr>
        <w:spacing w:line="360" w:lineRule="auto"/>
        <w:jc w:val="both"/>
        <w:rPr>
          <w:rFonts w:ascii="Times New Roman" w:hAnsi="Times New Roman" w:cs="Times New Roman"/>
        </w:rPr>
      </w:pPr>
      <w:r w:rsidRPr="005E06C5">
        <w:rPr>
          <w:rFonts w:ascii="Times New Roman" w:hAnsi="Times New Roman" w:cs="Times New Roman"/>
        </w:rPr>
        <w:t xml:space="preserve">This project involved </w:t>
      </w:r>
      <w:proofErr w:type="spellStart"/>
      <w:r w:rsidRPr="005E06C5">
        <w:rPr>
          <w:rFonts w:ascii="Times New Roman" w:hAnsi="Times New Roman" w:cs="Times New Roman"/>
        </w:rPr>
        <w:t>analysing</w:t>
      </w:r>
      <w:proofErr w:type="spellEnd"/>
      <w:r w:rsidRPr="005E06C5">
        <w:rPr>
          <w:rFonts w:ascii="Times New Roman" w:hAnsi="Times New Roman" w:cs="Times New Roman"/>
        </w:rPr>
        <w:t xml:space="preserve"> data from the European Social Survey Round 11 to compare the levels of political interest, the way young adults (18-29) and adults (30+) vote, levels of trust in politicians, direct contact with politicians and online political activity.</w:t>
      </w:r>
    </w:p>
    <w:p w14:paraId="6FDA3F33" w14:textId="77777777" w:rsidR="005E06C5" w:rsidRDefault="005E06C5" w:rsidP="00916C48">
      <w:pPr>
        <w:spacing w:line="360" w:lineRule="auto"/>
        <w:jc w:val="both"/>
        <w:rPr>
          <w:rFonts w:ascii="Times New Roman" w:hAnsi="Times New Roman" w:cs="Times New Roman"/>
        </w:rPr>
      </w:pPr>
      <w:r w:rsidRPr="005E06C5">
        <w:rPr>
          <w:rFonts w:ascii="Times New Roman" w:hAnsi="Times New Roman" w:cs="Times New Roman"/>
        </w:rPr>
        <w:t>The weighted descriptive results suggest that younger adults had less political interest, voted less, and had less direct interaction with politicians than older adults. They also were more likely to report online political activity at the same time. Levels of trust in politicians were relatively low in both groups, and slightly higher in the weighted mean among the young adults.</w:t>
      </w:r>
    </w:p>
    <w:p w14:paraId="20764962" w14:textId="77777777" w:rsidR="005E06C5" w:rsidRDefault="005E06C5" w:rsidP="00916C48">
      <w:pPr>
        <w:spacing w:line="360" w:lineRule="auto"/>
        <w:jc w:val="both"/>
        <w:rPr>
          <w:rFonts w:ascii="Times New Roman" w:hAnsi="Times New Roman" w:cs="Times New Roman"/>
        </w:rPr>
      </w:pPr>
      <w:r w:rsidRPr="005E06C5">
        <w:rPr>
          <w:rFonts w:ascii="Times New Roman" w:hAnsi="Times New Roman" w:cs="Times New Roman"/>
        </w:rPr>
        <w:t xml:space="preserve">The project illustrates how to use data cleaning, variable documentation, SQL queries and Python analysis and Power BI </w:t>
      </w:r>
      <w:proofErr w:type="spellStart"/>
      <w:r w:rsidRPr="005E06C5">
        <w:rPr>
          <w:rFonts w:ascii="Times New Roman" w:hAnsi="Times New Roman" w:cs="Times New Roman"/>
        </w:rPr>
        <w:t>visualisation</w:t>
      </w:r>
      <w:proofErr w:type="spellEnd"/>
      <w:r w:rsidRPr="005E06C5">
        <w:rPr>
          <w:rFonts w:ascii="Times New Roman" w:hAnsi="Times New Roman" w:cs="Times New Roman"/>
        </w:rPr>
        <w:t xml:space="preserve"> to answer a research question useful in political science and public policy.</w:t>
      </w:r>
    </w:p>
    <w:p w14:paraId="7B0C15A7" w14:textId="77777777" w:rsidR="005E06C5" w:rsidRDefault="005E06C5" w:rsidP="00916C48">
      <w:pPr>
        <w:pStyle w:val="Heading1"/>
        <w:spacing w:line="360" w:lineRule="auto"/>
        <w:jc w:val="both"/>
        <w:rPr>
          <w:rFonts w:eastAsiaTheme="minorHAnsi" w:cs="Times New Roman"/>
          <w:color w:val="auto"/>
          <w:sz w:val="24"/>
          <w:szCs w:val="24"/>
        </w:rPr>
      </w:pPr>
      <w:r w:rsidRPr="005E06C5">
        <w:rPr>
          <w:rFonts w:eastAsiaTheme="minorHAnsi" w:cs="Times New Roman"/>
          <w:color w:val="auto"/>
          <w:sz w:val="24"/>
          <w:szCs w:val="24"/>
        </w:rPr>
        <w:t>Future studies might explore intercountry differences, the effect of the ESS design and determine if differences in education or other characteristics of the respondent are linked to political participation. These extensions would further enable an understanding of these patterns found in this project in greater detail.</w:t>
      </w:r>
    </w:p>
    <w:p w14:paraId="5F22E9E7" w14:textId="7C238E03" w:rsidR="00C721EF" w:rsidRPr="00C721EF" w:rsidRDefault="00C721EF" w:rsidP="00916C48">
      <w:pPr>
        <w:pStyle w:val="Heading1"/>
        <w:spacing w:line="360" w:lineRule="auto"/>
        <w:jc w:val="both"/>
        <w:rPr>
          <w:b/>
          <w:bCs/>
        </w:rPr>
      </w:pPr>
      <w:r w:rsidRPr="00C721EF">
        <w:rPr>
          <w:b/>
          <w:bCs/>
        </w:rPr>
        <w:t>9. Tools and Technologies</w:t>
      </w:r>
    </w:p>
    <w:p w14:paraId="59741B2F" w14:textId="77777777" w:rsidR="00C721EF" w:rsidRPr="00C721EF" w:rsidRDefault="00C721EF" w:rsidP="00916C48">
      <w:pPr>
        <w:numPr>
          <w:ilvl w:val="0"/>
          <w:numId w:val="5"/>
        </w:numPr>
        <w:spacing w:line="360" w:lineRule="auto"/>
        <w:jc w:val="both"/>
        <w:rPr>
          <w:rFonts w:ascii="Times New Roman" w:hAnsi="Times New Roman" w:cs="Times New Roman"/>
        </w:rPr>
      </w:pPr>
      <w:r w:rsidRPr="00C721EF">
        <w:rPr>
          <w:rFonts w:ascii="Times New Roman" w:hAnsi="Times New Roman" w:cs="Times New Roman"/>
          <w:b/>
          <w:bCs/>
        </w:rPr>
        <w:t>Microsoft Excel:</w:t>
      </w:r>
      <w:r w:rsidRPr="00C721EF">
        <w:rPr>
          <w:rFonts w:ascii="Times New Roman" w:hAnsi="Times New Roman" w:cs="Times New Roman"/>
        </w:rPr>
        <w:t xml:space="preserve"> Data </w:t>
      </w:r>
      <w:proofErr w:type="spellStart"/>
      <w:r w:rsidRPr="00C721EF">
        <w:rPr>
          <w:rFonts w:ascii="Times New Roman" w:hAnsi="Times New Roman" w:cs="Times New Roman"/>
        </w:rPr>
        <w:t>organisation</w:t>
      </w:r>
      <w:proofErr w:type="spellEnd"/>
      <w:r w:rsidRPr="00C721EF">
        <w:rPr>
          <w:rFonts w:ascii="Times New Roman" w:hAnsi="Times New Roman" w:cs="Times New Roman"/>
        </w:rPr>
        <w:t>, cleaning, variable documentation and preliminary summaries.</w:t>
      </w:r>
    </w:p>
    <w:p w14:paraId="5643B2DD" w14:textId="77777777" w:rsidR="00C721EF" w:rsidRPr="00C721EF" w:rsidRDefault="00C721EF" w:rsidP="00916C48">
      <w:pPr>
        <w:numPr>
          <w:ilvl w:val="0"/>
          <w:numId w:val="5"/>
        </w:numPr>
        <w:spacing w:line="360" w:lineRule="auto"/>
        <w:jc w:val="both"/>
        <w:rPr>
          <w:rFonts w:ascii="Times New Roman" w:hAnsi="Times New Roman" w:cs="Times New Roman"/>
        </w:rPr>
      </w:pPr>
      <w:r w:rsidRPr="00C721EF">
        <w:rPr>
          <w:rFonts w:ascii="Times New Roman" w:hAnsi="Times New Roman" w:cs="Times New Roman"/>
          <w:b/>
          <w:bCs/>
        </w:rPr>
        <w:lastRenderedPageBreak/>
        <w:t>SQL:</w:t>
      </w:r>
      <w:r w:rsidRPr="00C721EF">
        <w:rPr>
          <w:rFonts w:ascii="Times New Roman" w:hAnsi="Times New Roman" w:cs="Times New Roman"/>
        </w:rPr>
        <w:t xml:space="preserve"> </w:t>
      </w:r>
      <w:proofErr w:type="gramStart"/>
      <w:r w:rsidRPr="00C721EF">
        <w:rPr>
          <w:rFonts w:ascii="Times New Roman" w:hAnsi="Times New Roman" w:cs="Times New Roman"/>
        </w:rPr>
        <w:t>Respondent counts,</w:t>
      </w:r>
      <w:proofErr w:type="gramEnd"/>
      <w:r w:rsidRPr="00C721EF">
        <w:rPr>
          <w:rFonts w:ascii="Times New Roman" w:hAnsi="Times New Roman" w:cs="Times New Roman"/>
        </w:rPr>
        <w:t xml:space="preserve"> grouped response distributions and descriptive queries.</w:t>
      </w:r>
    </w:p>
    <w:p w14:paraId="7E31AB7D" w14:textId="77777777" w:rsidR="00C721EF" w:rsidRPr="00C721EF" w:rsidRDefault="00C721EF" w:rsidP="00916C48">
      <w:pPr>
        <w:numPr>
          <w:ilvl w:val="0"/>
          <w:numId w:val="5"/>
        </w:numPr>
        <w:spacing w:line="360" w:lineRule="auto"/>
        <w:jc w:val="both"/>
        <w:rPr>
          <w:rFonts w:ascii="Times New Roman" w:hAnsi="Times New Roman" w:cs="Times New Roman"/>
        </w:rPr>
      </w:pPr>
      <w:r w:rsidRPr="00C721EF">
        <w:rPr>
          <w:rFonts w:ascii="Times New Roman" w:hAnsi="Times New Roman" w:cs="Times New Roman"/>
          <w:b/>
          <w:bCs/>
        </w:rPr>
        <w:t>Python:</w:t>
      </w:r>
      <w:r w:rsidRPr="00C721EF">
        <w:rPr>
          <w:rFonts w:ascii="Times New Roman" w:hAnsi="Times New Roman" w:cs="Times New Roman"/>
        </w:rPr>
        <w:t xml:space="preserve"> Data validation and weighted summaries using Pandas and NumPy.</w:t>
      </w:r>
    </w:p>
    <w:p w14:paraId="528CC721" w14:textId="77777777" w:rsidR="00C721EF" w:rsidRPr="00C721EF" w:rsidRDefault="00C721EF" w:rsidP="00916C48">
      <w:pPr>
        <w:numPr>
          <w:ilvl w:val="0"/>
          <w:numId w:val="5"/>
        </w:numPr>
        <w:spacing w:line="360" w:lineRule="auto"/>
        <w:jc w:val="both"/>
        <w:rPr>
          <w:rFonts w:ascii="Times New Roman" w:hAnsi="Times New Roman" w:cs="Times New Roman"/>
        </w:rPr>
      </w:pPr>
      <w:r w:rsidRPr="00C721EF">
        <w:rPr>
          <w:rFonts w:ascii="Times New Roman" w:hAnsi="Times New Roman" w:cs="Times New Roman"/>
          <w:b/>
          <w:bCs/>
        </w:rPr>
        <w:t>Matplotlib and Seaborn:</w:t>
      </w:r>
      <w:r w:rsidRPr="00C721EF">
        <w:rPr>
          <w:rFonts w:ascii="Times New Roman" w:hAnsi="Times New Roman" w:cs="Times New Roman"/>
        </w:rPr>
        <w:t xml:space="preserve"> Statistical charts and </w:t>
      </w:r>
      <w:proofErr w:type="spellStart"/>
      <w:r w:rsidRPr="00C721EF">
        <w:rPr>
          <w:rFonts w:ascii="Times New Roman" w:hAnsi="Times New Roman" w:cs="Times New Roman"/>
        </w:rPr>
        <w:t>visualisations</w:t>
      </w:r>
      <w:proofErr w:type="spellEnd"/>
      <w:r w:rsidRPr="00C721EF">
        <w:rPr>
          <w:rFonts w:ascii="Times New Roman" w:hAnsi="Times New Roman" w:cs="Times New Roman"/>
        </w:rPr>
        <w:t>.</w:t>
      </w:r>
    </w:p>
    <w:p w14:paraId="7DC02C67" w14:textId="77777777" w:rsidR="00C721EF" w:rsidRPr="00C721EF" w:rsidRDefault="00C721EF" w:rsidP="00916C48">
      <w:pPr>
        <w:numPr>
          <w:ilvl w:val="0"/>
          <w:numId w:val="5"/>
        </w:numPr>
        <w:spacing w:line="360" w:lineRule="auto"/>
        <w:jc w:val="both"/>
        <w:rPr>
          <w:rFonts w:ascii="Times New Roman" w:hAnsi="Times New Roman" w:cs="Times New Roman"/>
        </w:rPr>
      </w:pPr>
      <w:r w:rsidRPr="00C721EF">
        <w:rPr>
          <w:rFonts w:ascii="Times New Roman" w:hAnsi="Times New Roman" w:cs="Times New Roman"/>
          <w:b/>
          <w:bCs/>
        </w:rPr>
        <w:t>Microsoft Power BI:</w:t>
      </w:r>
      <w:r w:rsidRPr="00C721EF">
        <w:rPr>
          <w:rFonts w:ascii="Times New Roman" w:hAnsi="Times New Roman" w:cs="Times New Roman"/>
        </w:rPr>
        <w:t xml:space="preserve"> Dashboard development and visual comparison of political engagement by age group.</w:t>
      </w:r>
    </w:p>
    <w:p w14:paraId="50746F71" w14:textId="77777777" w:rsidR="00C721EF" w:rsidRPr="00C721EF" w:rsidRDefault="00C721EF" w:rsidP="00916C48">
      <w:pPr>
        <w:pStyle w:val="Heading1"/>
        <w:spacing w:line="360" w:lineRule="auto"/>
        <w:jc w:val="both"/>
        <w:rPr>
          <w:b/>
          <w:bCs/>
        </w:rPr>
      </w:pPr>
      <w:r w:rsidRPr="00C721EF">
        <w:rPr>
          <w:b/>
          <w:bCs/>
        </w:rPr>
        <w:t>10. Data Reference</w:t>
      </w:r>
    </w:p>
    <w:p w14:paraId="1DE41DFD"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 xml:space="preserve">European Social Survey (ESS). </w:t>
      </w:r>
      <w:r w:rsidRPr="00C721EF">
        <w:rPr>
          <w:rFonts w:ascii="Times New Roman" w:hAnsi="Times New Roman" w:cs="Times New Roman"/>
          <w:i/>
          <w:iCs/>
        </w:rPr>
        <w:t>Round 11 Integrated Dataset, Edition 4.2 (2023/24).</w:t>
      </w:r>
      <w:r w:rsidRPr="00C721EF">
        <w:rPr>
          <w:rFonts w:ascii="Times New Roman" w:hAnsi="Times New Roman" w:cs="Times New Roman"/>
        </w:rPr>
        <w:t xml:space="preserve"> European Social Survey Data Portal: </w:t>
      </w:r>
      <w:hyperlink r:id="rId5" w:history="1">
        <w:r w:rsidRPr="00C721EF">
          <w:rPr>
            <w:rStyle w:val="Hyperlink"/>
            <w:rFonts w:ascii="Times New Roman" w:hAnsi="Times New Roman" w:cs="Times New Roman"/>
          </w:rPr>
          <w:t>https://www.europeansocialsurvey.org/data-portal</w:t>
        </w:r>
      </w:hyperlink>
    </w:p>
    <w:p w14:paraId="535F47E1" w14:textId="77777777" w:rsidR="00C721EF" w:rsidRPr="00C721EF" w:rsidRDefault="00C721EF" w:rsidP="00916C48">
      <w:pPr>
        <w:spacing w:line="360" w:lineRule="auto"/>
        <w:jc w:val="both"/>
        <w:rPr>
          <w:rFonts w:ascii="Times New Roman" w:hAnsi="Times New Roman" w:cs="Times New Roman"/>
        </w:rPr>
      </w:pPr>
      <w:r w:rsidRPr="00C721EF">
        <w:rPr>
          <w:rFonts w:ascii="Times New Roman" w:hAnsi="Times New Roman" w:cs="Times New Roman"/>
        </w:rPr>
        <w:t>The official ESS documentation should be consulted for the complete dataset citation and the precise definitions of the variables and analysis weight used in this project.</w:t>
      </w:r>
    </w:p>
    <w:p w14:paraId="19134A80" w14:textId="77777777" w:rsidR="006E0664" w:rsidRPr="00C721EF" w:rsidRDefault="006E0664" w:rsidP="00916C48">
      <w:pPr>
        <w:spacing w:line="360" w:lineRule="auto"/>
        <w:jc w:val="both"/>
        <w:rPr>
          <w:rFonts w:ascii="Times New Roman" w:hAnsi="Times New Roman" w:cs="Times New Roman"/>
        </w:rPr>
      </w:pPr>
    </w:p>
    <w:sectPr w:rsidR="006E0664" w:rsidRPr="00C72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32058"/>
    <w:multiLevelType w:val="hybridMultilevel"/>
    <w:tmpl w:val="EA266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C72210"/>
    <w:multiLevelType w:val="multilevel"/>
    <w:tmpl w:val="D8EC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377E4"/>
    <w:multiLevelType w:val="hybridMultilevel"/>
    <w:tmpl w:val="57361A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3E4160"/>
    <w:multiLevelType w:val="multilevel"/>
    <w:tmpl w:val="8E34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638D0"/>
    <w:multiLevelType w:val="multilevel"/>
    <w:tmpl w:val="769A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15A2F"/>
    <w:multiLevelType w:val="multilevel"/>
    <w:tmpl w:val="086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E1E22"/>
    <w:multiLevelType w:val="multilevel"/>
    <w:tmpl w:val="7EA6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113466">
    <w:abstractNumId w:val="6"/>
  </w:num>
  <w:num w:numId="2" w16cid:durableId="1262297472">
    <w:abstractNumId w:val="1"/>
  </w:num>
  <w:num w:numId="3" w16cid:durableId="1493596833">
    <w:abstractNumId w:val="5"/>
  </w:num>
  <w:num w:numId="4" w16cid:durableId="1419012063">
    <w:abstractNumId w:val="4"/>
  </w:num>
  <w:num w:numId="5" w16cid:durableId="218632229">
    <w:abstractNumId w:val="3"/>
  </w:num>
  <w:num w:numId="6" w16cid:durableId="854029827">
    <w:abstractNumId w:val="0"/>
  </w:num>
  <w:num w:numId="7" w16cid:durableId="781073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1EF"/>
    <w:rsid w:val="0059795C"/>
    <w:rsid w:val="005B4257"/>
    <w:rsid w:val="005E06C5"/>
    <w:rsid w:val="0067384F"/>
    <w:rsid w:val="006E0664"/>
    <w:rsid w:val="00916C48"/>
    <w:rsid w:val="00C721EF"/>
    <w:rsid w:val="00DB7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54AD"/>
  <w15:chartTrackingRefBased/>
  <w15:docId w15:val="{C86BE61D-DF8B-479F-8FB0-CC4F86FD1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1EF"/>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21EF"/>
    <w:pPr>
      <w:keepNext/>
      <w:keepLines/>
      <w:spacing w:before="160" w:after="80"/>
      <w:outlineLvl w:val="1"/>
    </w:pPr>
    <w:rPr>
      <w:rFonts w:ascii="Times New Roman" w:eastAsiaTheme="majorEastAsia" w:hAnsi="Times New Roman"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1EF"/>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C721EF"/>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1EF"/>
    <w:rPr>
      <w:rFonts w:eastAsiaTheme="majorEastAsia" w:cstheme="majorBidi"/>
      <w:color w:val="272727" w:themeColor="text1" w:themeTint="D8"/>
    </w:rPr>
  </w:style>
  <w:style w:type="paragraph" w:styleId="Title">
    <w:name w:val="Title"/>
    <w:basedOn w:val="Normal"/>
    <w:next w:val="Normal"/>
    <w:link w:val="TitleChar"/>
    <w:uiPriority w:val="10"/>
    <w:qFormat/>
    <w:rsid w:val="00C72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1EF"/>
    <w:pPr>
      <w:spacing w:before="160"/>
      <w:jc w:val="center"/>
    </w:pPr>
    <w:rPr>
      <w:i/>
      <w:iCs/>
      <w:color w:val="404040" w:themeColor="text1" w:themeTint="BF"/>
    </w:rPr>
  </w:style>
  <w:style w:type="character" w:customStyle="1" w:styleId="QuoteChar">
    <w:name w:val="Quote Char"/>
    <w:basedOn w:val="DefaultParagraphFont"/>
    <w:link w:val="Quote"/>
    <w:uiPriority w:val="29"/>
    <w:rsid w:val="00C721EF"/>
    <w:rPr>
      <w:i/>
      <w:iCs/>
      <w:color w:val="404040" w:themeColor="text1" w:themeTint="BF"/>
    </w:rPr>
  </w:style>
  <w:style w:type="paragraph" w:styleId="ListParagraph">
    <w:name w:val="List Paragraph"/>
    <w:basedOn w:val="Normal"/>
    <w:uiPriority w:val="34"/>
    <w:qFormat/>
    <w:rsid w:val="00C721EF"/>
    <w:pPr>
      <w:ind w:left="720"/>
      <w:contextualSpacing/>
    </w:pPr>
  </w:style>
  <w:style w:type="character" w:styleId="IntenseEmphasis">
    <w:name w:val="Intense Emphasis"/>
    <w:basedOn w:val="DefaultParagraphFont"/>
    <w:uiPriority w:val="21"/>
    <w:qFormat/>
    <w:rsid w:val="00C721EF"/>
    <w:rPr>
      <w:i/>
      <w:iCs/>
      <w:color w:val="0F4761" w:themeColor="accent1" w:themeShade="BF"/>
    </w:rPr>
  </w:style>
  <w:style w:type="paragraph" w:styleId="IntenseQuote">
    <w:name w:val="Intense Quote"/>
    <w:basedOn w:val="Normal"/>
    <w:next w:val="Normal"/>
    <w:link w:val="IntenseQuoteChar"/>
    <w:uiPriority w:val="30"/>
    <w:qFormat/>
    <w:rsid w:val="00C72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1EF"/>
    <w:rPr>
      <w:i/>
      <w:iCs/>
      <w:color w:val="0F4761" w:themeColor="accent1" w:themeShade="BF"/>
    </w:rPr>
  </w:style>
  <w:style w:type="character" w:styleId="IntenseReference">
    <w:name w:val="Intense Reference"/>
    <w:basedOn w:val="DefaultParagraphFont"/>
    <w:uiPriority w:val="32"/>
    <w:qFormat/>
    <w:rsid w:val="00C721EF"/>
    <w:rPr>
      <w:b/>
      <w:bCs/>
      <w:smallCaps/>
      <w:color w:val="0F4761" w:themeColor="accent1" w:themeShade="BF"/>
      <w:spacing w:val="5"/>
    </w:rPr>
  </w:style>
  <w:style w:type="character" w:styleId="Hyperlink">
    <w:name w:val="Hyperlink"/>
    <w:basedOn w:val="DefaultParagraphFont"/>
    <w:uiPriority w:val="99"/>
    <w:unhideWhenUsed/>
    <w:rsid w:val="00C721EF"/>
    <w:rPr>
      <w:color w:val="467886" w:themeColor="hyperlink"/>
      <w:u w:val="single"/>
    </w:rPr>
  </w:style>
  <w:style w:type="character" w:styleId="UnresolvedMention">
    <w:name w:val="Unresolved Mention"/>
    <w:basedOn w:val="DefaultParagraphFont"/>
    <w:uiPriority w:val="99"/>
    <w:semiHidden/>
    <w:unhideWhenUsed/>
    <w:rsid w:val="00C72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uropeansocialsurvey.org/data-port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1960</Words>
  <Characters>11173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Suhail Alam</dc:creator>
  <cp:keywords/>
  <dc:description/>
  <cp:lastModifiedBy>Suhail Alam</cp:lastModifiedBy>
  <cp:revision>4</cp:revision>
  <dcterms:created xsi:type="dcterms:W3CDTF">2026-10-16T10:45:00Z</dcterms:created>
  <dcterms:modified xsi:type="dcterms:W3CDTF">2026-10-16T11:02:00Z</dcterms:modified>
</cp:coreProperties>
</file>