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Default Extension="fntdata" ContentType="application/x-fontdata"/>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BodyText"/>
        <w:bidi w:val="0"/>
        <w:jc w:val="left"/>
        <w:rPr>
          <w:sz w:val="24"/>
          <w:szCs w:val="24"/>
        </w:rPr>
      </w:pPr>
      <w:r>
        <w:rPr>
          <w:sz w:val="24"/>
          <w:szCs w:val="24"/>
        </w:rPr>
      </w:r>
    </w:p>
    <w:p>
      <w:pPr>
        <w:pStyle w:val="BodyText"/>
        <w:bidi w:val="0"/>
        <w:jc w:val="left"/>
        <w:rPr>
          <w:sz w:val="24"/>
          <w:szCs w:val="24"/>
        </w:rPr>
      </w:pPr>
      <w:r>
        <w:rPr>
          <w:sz w:val="24"/>
          <w:szCs w:val="24"/>
        </w:rPr>
      </w:r>
    </w:p>
    <w:p>
      <w:pPr>
        <w:pStyle w:val="BodyText"/>
        <w:bidi w:val="0"/>
        <w:jc w:val="left"/>
        <w:rPr>
          <w:sz w:val="24"/>
          <w:szCs w:val="24"/>
        </w:rPr>
      </w:pPr>
      <w:r>
        <w:rPr>
          <w:sz w:val="24"/>
          <w:szCs w:val="24"/>
        </w:rPr>
      </w:r>
    </w:p>
    <w:p>
      <w:pPr>
        <w:pStyle w:val="Heading2"/>
        <w:bidi w:val="0"/>
        <w:jc w:val="left"/>
        <w:rPr>
          <w:sz w:val="24"/>
          <w:szCs w:val="24"/>
        </w:rPr>
      </w:pPr>
      <w:r>
        <w:rPr>
          <w:sz w:val="24"/>
          <w:szCs w:val="24"/>
        </w:rPr>
        <w:t xml:space="preserve">3. </w:t>
      </w:r>
      <w:r>
        <w:rPr>
          <w:sz w:val="24"/>
          <w:szCs w:val="24"/>
        </w:rPr>
        <w:t>关键技术挑战与工程实践</w:t>
      </w:r>
    </w:p>
    <w:p>
      <w:pPr>
        <w:pStyle w:val="BodyText"/>
        <w:ind w:hanging="0" w:left="0" w:right="0"/>
        <w:rPr/>
      </w:pPr>
      <w:r>
        <w:rPr/>
        <w:t xml:space="preserve">EEG </w:t>
      </w:r>
      <w:r>
        <w:rPr/>
        <w:t>数据增强技术虽然在理论上缓解了小样本困境，但要将其转化为可靠的工程能力，仍需跨越</w:t>
      </w:r>
      <w:r>
        <w:rPr>
          <w:b w:val="false"/>
          <w:bCs w:val="false"/>
        </w:rPr>
        <w:t>从实验室到规模化部署</w:t>
      </w:r>
      <w:r>
        <w:rPr/>
        <w:t>的鸿沟。当前，制约该技术落地的核心阻力不再仅仅是算法性能，而是</w:t>
      </w:r>
      <w:r>
        <w:rPr>
          <w:b w:val="false"/>
          <w:bCs w:val="false"/>
        </w:rPr>
        <w:t>表征形式的物理约束</w:t>
      </w:r>
      <w:r>
        <w:rPr>
          <w:b w:val="false"/>
          <w:bCs w:val="false"/>
        </w:rPr>
        <w:t>、</w:t>
      </w:r>
      <w:r>
        <w:rPr>
          <w:b w:val="false"/>
          <w:bCs w:val="false"/>
        </w:rPr>
        <w:t>评估体系的维度缺失</w:t>
      </w:r>
      <w:r>
        <w:rPr>
          <w:b w:val="false"/>
          <w:bCs w:val="false"/>
        </w:rPr>
        <w:t>以及</w:t>
      </w:r>
      <w:r>
        <w:rPr>
          <w:b w:val="false"/>
          <w:bCs w:val="false"/>
        </w:rPr>
        <w:t>复杂的资源权衡</w:t>
      </w:r>
      <w:r>
        <w:rPr>
          <w:b w:val="false"/>
          <w:bCs w:val="false"/>
        </w:rPr>
        <w:t xml:space="preserve"> </w:t>
      </w:r>
      <w:r>
        <w:rPr>
          <w:b w:val="false"/>
          <w:bCs w:val="false"/>
        </w:rPr>
        <w:t>[7]</w:t>
      </w:r>
      <w:r>
        <w:rPr/>
        <w:t>。。本节系统分析制约该技术落地的核心矛盾与解决路径。</w:t>
      </w:r>
    </w:p>
    <w:p>
      <w:pPr>
        <w:pStyle w:val="Heading3"/>
        <w:spacing w:before="0" w:after="283"/>
        <w:ind w:hanging="0" w:left="0" w:right="0"/>
        <w:rPr>
          <w:sz w:val="24"/>
          <w:szCs w:val="24"/>
        </w:rPr>
      </w:pPr>
      <w:r>
        <w:rPr>
          <w:sz w:val="24"/>
          <w:szCs w:val="24"/>
        </w:rPr>
        <w:t xml:space="preserve">3.1 </w:t>
      </w:r>
      <w:r>
        <w:rPr>
          <w:sz w:val="24"/>
          <w:szCs w:val="24"/>
        </w:rPr>
        <w:t>表征演进与增强策略的物理耦合</w:t>
      </w:r>
    </w:p>
    <w:p>
      <w:pPr>
        <w:pStyle w:val="BodyText"/>
        <w:ind w:hanging="0" w:left="0" w:right="0"/>
        <w:rPr/>
      </w:pPr>
      <w:r>
        <w:rPr/>
        <w:t>脑电信号的表征形式直接划定了数据增强的</w:t>
      </w:r>
      <w:r>
        <w:rPr/>
        <w:t>"</w:t>
      </w:r>
      <w:r>
        <w:rPr/>
        <w:t>安全边界</w:t>
      </w:r>
      <w:r>
        <w:rPr/>
        <w:t>"</w:t>
      </w:r>
      <w:r>
        <w:rPr/>
        <w:t xml:space="preserve">。随着建模范式从简单的 </w:t>
      </w:r>
      <w:r>
        <w:rPr/>
        <w:t xml:space="preserve">2D </w:t>
      </w:r>
      <w:r>
        <w:rPr/>
        <w:t xml:space="preserve">时序矩阵向保留拓扑的 </w:t>
      </w:r>
      <w:r>
        <w:rPr/>
        <w:t xml:space="preserve">3D </w:t>
      </w:r>
      <w:r>
        <w:rPr/>
        <w:t>张量乃至图结构演进，增强算法的设计复杂度呈指数级上升</w:t>
      </w:r>
      <w:r>
        <w:rPr/>
        <w:t>[12]</w:t>
      </w:r>
      <w:r>
        <w:rPr/>
        <w:t xml:space="preserve">。早期的 </w:t>
      </w:r>
      <w:r>
        <w:rPr/>
        <w:t xml:space="preserve">2D </w:t>
      </w:r>
      <w:r>
        <w:rPr/>
        <w:t>表征（通道</w:t>
      </w:r>
      <w:r>
        <w:rPr/>
        <w:t>×</w:t>
      </w:r>
      <w:r>
        <w:rPr/>
        <w:t>时间）虽然计算高效，但往往忽视电极间的空间拓扑。</w:t>
      </w:r>
    </w:p>
    <w:p>
      <w:pPr>
        <w:pStyle w:val="BodyText"/>
        <w:ind w:hanging="0" w:left="0" w:right="0"/>
        <w:rPr/>
      </w:pPr>
      <w:r>
        <w:rPr/>
        <w:t>在这种表征下，简单的时移或裁剪若不被加以限制，极易破坏通道间的相位同步性，致使模型学习到非生理性的噪声特征</w:t>
      </w:r>
      <w:r>
        <w:rPr/>
        <w:t>[15]</w:t>
      </w:r>
      <w:r>
        <w:rPr/>
        <w:t>。为了规避这一风险，当前的工程实践更倾向于采用联合增强策略。例如，在处理时频域数据时，必须确保时域的切片拼接与频域的节律交换同步进行，以维持信号在物理空间上的邻域一致性</w:t>
      </w:r>
      <w:r>
        <w:rPr/>
        <w:t>[9]</w:t>
      </w:r>
      <w:r>
        <w:rPr/>
        <w:t>。</w:t>
      </w:r>
    </w:p>
    <w:p>
      <w:pPr>
        <w:pStyle w:val="BodyText"/>
        <w:ind w:hanging="0" w:left="0" w:right="0"/>
        <w:rPr/>
      </w:pPr>
      <w:r>
        <w:rPr/>
        <w:t xml:space="preserve">此外，针对 </w:t>
      </w:r>
      <w:r>
        <w:rPr/>
        <w:t xml:space="preserve">2D </w:t>
      </w:r>
      <w:r>
        <w:rPr/>
        <w:t>表征的严格约束还包括：同一原始样本的增强子片段绝不能跨越训练集和测试集，否则将导致严重的数据泄露</w:t>
      </w:r>
      <w:r>
        <w:rPr/>
        <w:t>[10]</w:t>
      </w:r>
      <w:r>
        <w:rPr/>
        <w:t>。</w:t>
      </w:r>
    </w:p>
    <w:p>
      <w:pPr>
        <w:pStyle w:val="BodyText"/>
        <w:ind w:hanging="0" w:left="0" w:right="0"/>
        <w:rPr/>
      </w:pPr>
      <w:r>
        <w:rPr/>
        <w:t xml:space="preserve">对于更复杂的 </w:t>
      </w:r>
      <w:r>
        <w:rPr/>
        <w:t xml:space="preserve">3D </w:t>
      </w:r>
      <w:r>
        <w:rPr/>
        <w:t xml:space="preserve">及图结构表征，增强操作面临的约束就更为严格。研究表明，生成式模型（如 </w:t>
      </w:r>
      <w:r>
        <w:rPr/>
        <w:t>3D-GAN</w:t>
      </w:r>
      <w:r>
        <w:rPr/>
        <w:t xml:space="preserve">）只有在维持运动想象任务的 </w:t>
      </w:r>
      <w:r>
        <w:rPr/>
        <w:t xml:space="preserve">μ </w:t>
      </w:r>
      <w:r>
        <w:rPr/>
        <w:t>波抑制特征等空间一致性时，才能有效提升分类准确率</w:t>
      </w:r>
      <w:r>
        <w:rPr/>
        <w:t>[3]</w:t>
      </w:r>
      <w:r>
        <w:rPr/>
        <w:t>。而在最新的图对比学习框架中，增强策略（如随机滤波或加噪）必须在严格保持图拓扑结构的前提下进行</w:t>
      </w:r>
      <w:r>
        <w:rPr/>
        <w:t>[6]</w:t>
      </w:r>
      <w:r>
        <w:rPr/>
        <w:t>。这要求算法必须有能区分</w:t>
      </w:r>
      <w:r>
        <w:rPr/>
        <w:t>"</w:t>
      </w:r>
      <w:r>
        <w:rPr/>
        <w:t>弱增强</w:t>
      </w:r>
      <w:r>
        <w:rPr/>
        <w:t>"</w:t>
      </w:r>
      <w:r>
        <w:rPr/>
        <w:t>与</w:t>
      </w:r>
      <w:r>
        <w:rPr/>
        <w:t>"</w:t>
      </w:r>
      <w:r>
        <w:rPr/>
        <w:t>强增强</w:t>
      </w:r>
      <w:r>
        <w:rPr/>
        <w:t>"</w:t>
      </w:r>
      <w:r>
        <w:rPr/>
        <w:t>的界限的能力，这才能避免破坏节点间的连接权重，保证跨被试的泛化能力</w:t>
      </w:r>
      <w:r>
        <w:rPr/>
        <w:t>[5]</w:t>
      </w:r>
      <w:r>
        <w:rPr/>
        <w:t>。</w:t>
      </w:r>
    </w:p>
    <w:p>
      <w:pPr>
        <w:pStyle w:val="Heading3"/>
        <w:spacing w:before="0" w:after="283"/>
        <w:ind w:hanging="0" w:left="0" w:right="0"/>
        <w:rPr>
          <w:sz w:val="24"/>
          <w:szCs w:val="24"/>
        </w:rPr>
      </w:pPr>
      <w:r>
        <w:rPr>
          <w:sz w:val="24"/>
          <w:szCs w:val="24"/>
        </w:rPr>
        <w:t xml:space="preserve">3.2 </w:t>
      </w:r>
      <w:r>
        <w:rPr>
          <w:sz w:val="24"/>
          <w:szCs w:val="24"/>
        </w:rPr>
        <w:t>评估陷阱：跳出单一准确率的误区</w:t>
      </w:r>
    </w:p>
    <w:p>
      <w:pPr>
        <w:pStyle w:val="BodyText"/>
        <w:ind w:hanging="0" w:left="0" w:right="0"/>
        <w:rPr/>
      </w:pPr>
      <w:r>
        <w:rPr/>
        <w:t>在缺乏标准化评估体系的现状下，过度依赖</w:t>
      </w:r>
      <w:r>
        <w:rPr/>
        <w:t>"</w:t>
      </w:r>
      <w:r>
        <w:rPr/>
        <w:t>分类准确率</w:t>
      </w:r>
      <w:r>
        <w:rPr/>
        <w:t>"</w:t>
      </w:r>
      <w:r>
        <w:rPr/>
        <w:t>已成为评估生成质量的主要陷阱</w:t>
      </w:r>
      <w:r>
        <w:rPr/>
        <w:t>[4]</w:t>
      </w:r>
      <w:r>
        <w:rPr/>
        <w:t xml:space="preserve">。工程经验表明，分类准确率不仅无法区分模型是学习了鲁棒特征还是记忆了增强样本的分布，甚至可能掩盖过拟合风险——当生成样本比例超过一定阈值（如 </w:t>
      </w:r>
      <w:r>
        <w:rPr/>
        <w:t>70%</w:t>
      </w:r>
      <w:r>
        <w:rPr/>
        <w:t>）时，准确率的边际收益往往趋于平缓，甚至出现性能倒退</w:t>
      </w:r>
      <w:r>
        <w:rPr/>
        <w:t>[8]</w:t>
      </w:r>
      <w:r>
        <w:rPr/>
        <w:t>。</w:t>
      </w:r>
    </w:p>
    <w:p>
      <w:pPr>
        <w:pStyle w:val="BodyText"/>
        <w:ind w:hanging="0" w:left="0" w:right="0"/>
        <w:rPr/>
      </w:pPr>
      <w:r>
        <w:rPr/>
        <w:t>因此，构建一个能反映信号本质的多维度评估体系，就是突破这一瓶颈的关键。</w:t>
      </w:r>
    </w:p>
    <w:p>
      <w:pPr>
        <w:pStyle w:val="BodyText"/>
        <w:ind w:hanging="0" w:left="0" w:right="0"/>
        <w:rPr/>
      </w:pPr>
      <w:r>
        <w:rPr>
          <w:rStyle w:val="Strong"/>
          <w:b w:val="false"/>
          <w:bCs w:val="false"/>
        </w:rPr>
        <w:t>首要的评估维度是生理特征的“保真度”，也就是生理频谱保真度。</w:t>
      </w:r>
      <w:r>
        <w:rPr/>
        <w:t xml:space="preserve"> 高质量的增强样本必须在频谱特性上复现真实脑电的模式。例如，生成样本必须保持与真实 </w:t>
      </w:r>
      <w:r>
        <w:rPr/>
        <w:t xml:space="preserve">EEG </w:t>
      </w:r>
      <w:r>
        <w:rPr/>
        <w:t xml:space="preserve">一致的 </w:t>
      </w:r>
      <w:r>
        <w:rPr/>
        <w:t>ERD/ERS</w:t>
      </w:r>
      <w:r>
        <w:rPr/>
        <w:t>（事件相关去同步</w:t>
      </w:r>
      <w:r>
        <w:rPr/>
        <w:t>/</w:t>
      </w:r>
      <w:r>
        <w:rPr/>
        <w:t>同步）模式，否则模型将学习到错误的特征</w:t>
      </w:r>
      <w:r>
        <w:rPr/>
        <w:t>[4]</w:t>
      </w:r>
      <w:r>
        <w:rPr/>
        <w:t xml:space="preserve">。实验证实，相比标准 </w:t>
      </w:r>
      <w:r>
        <w:rPr/>
        <w:t xml:space="preserve">MixUp </w:t>
      </w:r>
      <w:r>
        <w:rPr/>
        <w:t>导致的频谱失真，</w:t>
      </w:r>
      <w:r>
        <w:rPr/>
        <w:t xml:space="preserve">Co-MixUp </w:t>
      </w:r>
      <w:r>
        <w:rPr/>
        <w:t xml:space="preserve">等改进方法能更好地保持 </w:t>
      </w:r>
      <w:r>
        <w:rPr/>
        <w:t xml:space="preserve">δ </w:t>
      </w:r>
      <w:r>
        <w:rPr/>
        <w:t xml:space="preserve">和 </w:t>
      </w:r>
      <w:r>
        <w:rPr/>
        <w:t xml:space="preserve">θ </w:t>
      </w:r>
      <w:r>
        <w:rPr/>
        <w:t>频段的功率谱密度</w:t>
      </w:r>
      <w:r>
        <w:rPr/>
        <w:t>[16]</w:t>
      </w:r>
      <w:r>
        <w:rPr/>
        <w:t>。</w:t>
      </w:r>
    </w:p>
    <w:p>
      <w:pPr>
        <w:pStyle w:val="BodyText"/>
        <w:ind w:hanging="0" w:left="0" w:right="0"/>
        <w:rPr/>
      </w:pPr>
      <w:r>
        <w:rPr>
          <w:rStyle w:val="Strong"/>
          <w:b w:val="false"/>
          <w:bCs w:val="false"/>
        </w:rPr>
        <w:t>在确保单样本生理保真的基础上，还需关注整体数据集的“分布一致性”。</w:t>
      </w:r>
      <w:r>
        <w:rPr/>
        <w:t xml:space="preserve"> 针对这一维度，直接套用图像领域的 </w:t>
      </w:r>
      <w:r>
        <w:rPr/>
        <w:t xml:space="preserve">FID </w:t>
      </w:r>
      <w:r>
        <w:rPr/>
        <w:t xml:space="preserve">指标会导致评估偏差。更合理的做法是采用针对 </w:t>
      </w:r>
      <w:r>
        <w:rPr/>
        <w:t xml:space="preserve">EEG </w:t>
      </w:r>
      <w:r>
        <w:rPr/>
        <w:t xml:space="preserve">特性改进的指标（如基于 </w:t>
      </w:r>
      <w:r>
        <w:rPr/>
        <w:t xml:space="preserve">EEGNet </w:t>
      </w:r>
      <w:r>
        <w:rPr/>
        <w:t xml:space="preserve">特征的 </w:t>
      </w:r>
      <w:r>
        <w:rPr/>
        <w:t>EEG-FID</w:t>
      </w:r>
      <w:r>
        <w:rPr/>
        <w:t xml:space="preserve">），或使用切片 </w:t>
      </w:r>
      <w:r>
        <w:rPr/>
        <w:t xml:space="preserve">Wasserstein </w:t>
      </w:r>
      <w:r>
        <w:rPr/>
        <w:t>距离（</w:t>
      </w:r>
      <w:r>
        <w:rPr/>
        <w:t>SWD</w:t>
      </w:r>
      <w:r>
        <w:rPr/>
        <w:t>）来捕捉时频特性的分布差异</w:t>
      </w:r>
      <w:r>
        <w:rPr/>
        <w:t>[4,12]</w:t>
      </w:r>
      <w:r>
        <w:rPr/>
        <w:t>。</w:t>
      </w:r>
    </w:p>
    <w:p>
      <w:pPr>
        <w:pStyle w:val="BodyText"/>
        <w:ind w:hanging="0" w:left="0" w:right="0"/>
        <w:rPr/>
      </w:pPr>
      <w:r>
        <w:rPr>
          <w:rStyle w:val="Strong"/>
          <w:b w:val="false"/>
          <w:bCs w:val="false"/>
        </w:rPr>
        <w:t>最终，这些独立的指标应被整合为一个成熟的工程评估框架，即在关注分类性能增益的同时，同步监控频谱一致性、样本多样性及训练稳定性</w:t>
      </w:r>
      <w:r>
        <w:rPr>
          <w:rStyle w:val="Strong"/>
          <w:b w:val="false"/>
          <w:bCs w:val="false"/>
        </w:rPr>
        <w:t>[3]</w:t>
      </w:r>
      <w:r>
        <w:rPr>
          <w:rStyle w:val="Strong"/>
          <w:b w:val="false"/>
          <w:bCs w:val="false"/>
        </w:rPr>
        <w:t>，从而实现对增强质量的全景式把控 。。</w:t>
      </w:r>
    </w:p>
    <w:p>
      <w:pPr>
        <w:pStyle w:val="BodyText"/>
        <w:ind w:hanging="0" w:left="0" w:right="0"/>
        <w:rPr>
          <w:rStyle w:val="Strong"/>
          <w:b w:val="false"/>
          <w:bCs w:val="false"/>
        </w:rPr>
      </w:pPr>
      <w:r>
        <w:rPr/>
      </w:r>
    </w:p>
    <w:p>
      <w:pPr>
        <w:pStyle w:val="Heading3"/>
        <w:spacing w:before="0" w:after="283"/>
        <w:ind w:hanging="0" w:left="0" w:right="0"/>
        <w:rPr>
          <w:sz w:val="24"/>
          <w:szCs w:val="24"/>
        </w:rPr>
      </w:pPr>
      <w:r>
        <w:rPr>
          <w:sz w:val="24"/>
          <w:szCs w:val="24"/>
        </w:rPr>
        <w:t xml:space="preserve">3.3 </w:t>
      </w:r>
      <w:r>
        <w:rPr>
          <w:sz w:val="24"/>
          <w:szCs w:val="24"/>
        </w:rPr>
        <w:t>工程实践：防范泄露与资源权衡</w:t>
      </w:r>
    </w:p>
    <w:p>
      <w:pPr>
        <w:pStyle w:val="BodyText"/>
        <w:ind w:hanging="0" w:left="0" w:right="0"/>
        <w:rPr/>
      </w:pPr>
      <w:r>
        <w:rPr/>
        <w:t>在实际部署中，除了算法层面的挑战，还需警惕数据泄露、边际效应递减与计算资源消耗三大工程陷阱。因此，我们需要做到以下几点</w:t>
      </w:r>
    </w:p>
    <w:p>
      <w:pPr>
        <w:pStyle w:val="BodyText"/>
        <w:ind w:hanging="0" w:left="0" w:right="0"/>
        <w:rPr/>
      </w:pPr>
      <w:r>
        <w:rPr>
          <w:rStyle w:val="Strong"/>
          <w:b w:val="false"/>
          <w:bCs w:val="false"/>
        </w:rPr>
        <w:t>首先，是建立严格的数据隔离机制，防范隐蔽的“虚假高分”数据泄露是模型评估失效的头号原因，最常见的陷阱是在数据划分前进行全局增强。</w:t>
      </w:r>
      <w:r>
        <w:rPr/>
        <w:t xml:space="preserve">因此，工程最佳实践必须遵循“先划分、后增强”的原则，确保每个原始样本及其增强子片段严格限制在单一数据集中 </w:t>
      </w:r>
      <w:r>
        <w:rPr/>
        <w:t>[10]</w:t>
      </w:r>
      <w:r>
        <w:rPr/>
        <w:t>。在跨被试场景（如对比学习或域适应）中，泄露形式更为隐蔽，这是就必须确保同一被试的数据不会同时出现在正负样本对中，或通过严格的交叉验证设计确保受试者轮流作为目标域</w:t>
      </w:r>
      <w:r>
        <w:rPr/>
        <w:t>[6]</w:t>
      </w:r>
      <w:r>
        <w:rPr/>
        <w:t>。</w:t>
      </w:r>
    </w:p>
    <w:p>
      <w:pPr>
        <w:pStyle w:val="BodyText"/>
        <w:ind w:hanging="0" w:left="0" w:right="0"/>
        <w:rPr/>
      </w:pPr>
      <w:r>
        <w:rPr>
          <w:rStyle w:val="Strong"/>
          <w:b w:val="false"/>
          <w:bCs w:val="false"/>
        </w:rPr>
        <w:t>在确保数据独立性后，需理性看待增强规模的边际效应。</w:t>
      </w:r>
      <w:r>
        <w:rPr/>
        <w:t xml:space="preserve">EEG </w:t>
      </w:r>
      <w:r>
        <w:rPr/>
        <w:t>信号的类内多样性有限，这意味着增强规模并非越大越好。多项研究证实，生成样本比例存在一个最佳</w:t>
      </w:r>
      <w:r>
        <w:rPr/>
        <w:t>"</w:t>
      </w:r>
      <w:r>
        <w:rPr/>
        <w:t>甜点</w:t>
      </w:r>
      <w:r>
        <w:rPr/>
        <w:t>"</w:t>
      </w:r>
      <w:r>
        <w:rPr/>
        <w:t xml:space="preserve">（通常为原始数据的 </w:t>
      </w:r>
      <w:r>
        <w:rPr/>
        <w:t xml:space="preserve">2-3 </w:t>
      </w:r>
      <w:r>
        <w:rPr/>
        <w:t xml:space="preserve">倍或 </w:t>
      </w:r>
      <w:r>
        <w:rPr/>
        <w:t xml:space="preserve">70% </w:t>
      </w:r>
      <w:r>
        <w:rPr/>
        <w:t>左右）</w:t>
      </w:r>
      <w:r>
        <w:rPr/>
        <w:t>[8]</w:t>
      </w:r>
      <w:r>
        <w:rPr/>
        <w:t>。一旦超过此阈值，过度增强会导致模式崩溃（</w:t>
      </w:r>
      <w:r>
        <w:rPr/>
        <w:t>Mode Collapse</w:t>
      </w:r>
      <w:r>
        <w:rPr/>
        <w:t>），引发样本同质化，反而降低模型的泛化性能</w:t>
      </w:r>
      <w:r>
        <w:rPr/>
        <w:t>[3]</w:t>
      </w:r>
      <w:r>
        <w:rPr/>
        <w:t>。对此，动态调整增强强度——也就是在训练初期使用弱增强、后期引入强增强，或基于验证集性能动态调整生成比例——是解决这一问题的有效策略</w:t>
      </w:r>
      <w:r>
        <w:rPr/>
        <w:t>[5,11]</w:t>
      </w:r>
      <w:r>
        <w:rPr/>
        <w:t>。</w:t>
      </w:r>
    </w:p>
    <w:p>
      <w:pPr>
        <w:pStyle w:val="BodyText"/>
        <w:ind w:hanging="0" w:left="0" w:right="0"/>
        <w:rPr/>
      </w:pPr>
      <w:r>
        <w:rPr>
          <w:rStyle w:val="Strong"/>
          <w:b w:val="false"/>
          <w:bCs w:val="false"/>
        </w:rPr>
        <w:t xml:space="preserve">最后，面对生成式模型高昂推理成本与 </w:t>
      </w:r>
      <w:r>
        <w:rPr>
          <w:rStyle w:val="Strong"/>
          <w:b w:val="false"/>
          <w:bCs w:val="false"/>
        </w:rPr>
        <w:t xml:space="preserve">BCI </w:t>
      </w:r>
      <w:r>
        <w:rPr>
          <w:rStyle w:val="Strong"/>
          <w:b w:val="false"/>
          <w:bCs w:val="false"/>
        </w:rPr>
        <w:t>边缘端资源受限的矛盾，必须采取“非对称”的计算权衡策略。</w:t>
      </w:r>
      <w:r>
        <w:rPr/>
        <w:t>生成式模型（如扩散模型）虽然生成内容质量优异，但在实时系统中往往难以落地</w:t>
      </w:r>
      <w:r>
        <w:rPr/>
        <w:t>[4]</w:t>
      </w:r>
      <w:r>
        <w:rPr/>
        <w:t>。解决之道在于采取</w:t>
      </w:r>
      <w:r>
        <w:rPr>
          <w:b w:val="false"/>
          <w:bCs w:val="false"/>
        </w:rPr>
        <w:t>非对称的轻量化策略和</w:t>
      </w:r>
      <w:r>
        <w:rPr/>
        <w:t xml:space="preserve">分阶段部署。在算法选择上，优先采用计算成本仅为原始信号生成 </w:t>
      </w:r>
      <w:r>
        <w:rPr/>
        <w:t xml:space="preserve">40% </w:t>
      </w:r>
      <w:r>
        <w:rPr/>
        <w:t xml:space="preserve">的特征空间增强（如 </w:t>
      </w:r>
      <w:r>
        <w:rPr/>
        <w:t>MixReg</w:t>
      </w:r>
      <w:r>
        <w:rPr/>
        <w:t>）</w:t>
      </w:r>
      <w:r>
        <w:rPr/>
        <w:t>[14]</w:t>
      </w:r>
      <w:r>
        <w:rPr/>
        <w:t xml:space="preserve">；或在架构层面采用“离线重生成、在线轻增强”的两阶段部署方案 </w:t>
      </w:r>
      <w:r>
        <w:rPr/>
        <w:t>[4]</w:t>
      </w:r>
      <w:r>
        <w:rPr/>
        <w:t xml:space="preserve">。此外，在训练流水线中引入针对增强操作的结果缓存机制，已被证实能有效降低约 </w:t>
      </w:r>
      <w:r>
        <w:rPr/>
        <w:t xml:space="preserve">35% </w:t>
      </w:r>
      <w:r>
        <w:rPr/>
        <w:t xml:space="preserve">的重复计算负荷 </w:t>
      </w:r>
      <w:r>
        <w:rPr/>
        <w:t>[7]</w:t>
      </w:r>
      <w:r>
        <w:rPr/>
        <w:t>，从而在有限算力下实现性能与效率的最佳平衡。</w:t>
      </w:r>
    </w:p>
    <w:p>
      <w:pPr>
        <w:pStyle w:val="BodyText"/>
        <w:ind w:hanging="0" w:left="0" w:right="0"/>
        <w:rPr/>
      </w:pPr>
      <w:r>
        <w:rPr/>
        <w:t xml:space="preserve">这些实践构成了 </w:t>
      </w:r>
      <w:r>
        <w:rPr/>
        <w:t xml:space="preserve">EEG </w:t>
      </w:r>
      <w:r>
        <w:rPr/>
        <w:t>数据增强的工程框架，确保了技术在提升模型性能的同时，具备系统级的可靠性与可部署性</w:t>
      </w:r>
      <w:r>
        <w:rPr/>
        <w:t>[7,12]</w:t>
      </w:r>
      <w:r>
        <w:rPr/>
        <w:t>。</w:t>
      </w:r>
    </w:p>
    <w:p>
      <w:pPr>
        <w:pStyle w:val="Style16"/>
        <w:spacing w:before="0" w:after="0"/>
        <w:rPr>
          <w:sz w:val="24"/>
          <w:szCs w:val="24"/>
        </w:rPr>
      </w:pPr>
      <w:r>
        <w:rPr>
          <w:sz w:val="24"/>
          <w:szCs w:val="24"/>
        </w:rPr>
      </w:r>
    </w:p>
    <w:p>
      <w:pPr>
        <w:pStyle w:val="BodyText"/>
        <w:spacing w:before="0" w:after="0"/>
        <w:rPr>
          <w:sz w:val="24"/>
          <w:szCs w:val="24"/>
        </w:rPr>
      </w:pPr>
      <w:r>
        <w:rPr>
          <w:sz w:val="24"/>
          <w:szCs w:val="24"/>
        </w:rPr>
      </w:r>
    </w:p>
    <w:p>
      <w:pPr>
        <w:pStyle w:val="Heading3"/>
        <w:spacing w:before="0" w:after="283"/>
        <w:ind w:hanging="0" w:left="0" w:right="0"/>
        <w:rPr>
          <w:sz w:val="24"/>
          <w:szCs w:val="24"/>
        </w:rPr>
      </w:pPr>
      <w:r>
        <w:rPr>
          <w:sz w:val="24"/>
          <w:szCs w:val="24"/>
        </w:rPr>
        <w:t>参考文献（本节引用）</w:t>
      </w:r>
    </w:p>
    <w:p>
      <w:pPr>
        <w:pStyle w:val="BodyText"/>
        <w:ind w:hanging="0" w:left="0" w:right="0"/>
        <w:rPr/>
      </w:pPr>
      <w:r>
        <w:rPr/>
        <w:t xml:space="preserve">[1] </w:t>
      </w:r>
      <w:r>
        <w:rPr/>
        <w:t xml:space="preserve">肖楠 </w:t>
      </w:r>
      <w:r>
        <w:rPr/>
        <w:t xml:space="preserve">&amp; </w:t>
      </w:r>
      <w:r>
        <w:rPr/>
        <w:t xml:space="preserve">李明爱 </w:t>
      </w:r>
      <w:r>
        <w:rPr/>
        <w:t xml:space="preserve">(2025). </w:t>
      </w:r>
      <w:r>
        <w:rPr/>
        <w:t>信息最大化生成对抗网络（</w:t>
      </w:r>
      <w:r>
        <w:rPr/>
        <w:t>InfoGAN</w:t>
      </w:r>
      <w:r>
        <w:rPr/>
        <w:t>）用于</w:t>
      </w:r>
      <w:r>
        <w:rPr/>
        <w:t>MI-EEG</w:t>
      </w:r>
      <w:r>
        <w:rPr/>
        <w:t>数据增强</w:t>
      </w:r>
      <w:r>
        <w:rPr/>
        <w:t>.</w:t>
        <w:br/>
        <w:t xml:space="preserve">[2] </w:t>
      </w:r>
      <w:r>
        <w:rPr/>
        <w:t xml:space="preserve">黄飞 </w:t>
      </w:r>
      <w:r>
        <w:rPr/>
        <w:t>(2025). WTGAN</w:t>
      </w:r>
      <w:r>
        <w:rPr/>
        <w:t>用于运动想象脑电信号增强</w:t>
      </w:r>
      <w:r>
        <w:rPr/>
        <w:t>.</w:t>
        <w:br/>
        <w:t xml:space="preserve">[3] </w:t>
      </w:r>
      <w:r>
        <w:rPr/>
        <w:t xml:space="preserve">郑敏敏 等 </w:t>
      </w:r>
      <w:r>
        <w:rPr/>
        <w:t xml:space="preserve">(2025). </w:t>
      </w:r>
      <w:r>
        <w:rPr/>
        <w:t>时频域数据增强方法（</w:t>
      </w:r>
      <w:r>
        <w:rPr/>
        <w:t>TFDA-MFFA</w:t>
      </w:r>
      <w:r>
        <w:rPr/>
        <w:t>）在运动想象</w:t>
      </w:r>
      <w:r>
        <w:rPr/>
        <w:t>EEG</w:t>
      </w:r>
      <w:r>
        <w:rPr/>
        <w:t>中的应用</w:t>
      </w:r>
      <w:r>
        <w:rPr/>
        <w:t>.</w:t>
        <w:br/>
        <w:t xml:space="preserve">[4] </w:t>
      </w:r>
      <w:r>
        <w:rPr/>
        <w:t xml:space="preserve">汪子凯 等 </w:t>
      </w:r>
      <w:r>
        <w:rPr/>
        <w:t xml:space="preserve">(2025). </w:t>
      </w:r>
      <w:r>
        <w:rPr/>
        <w:t>基于卷积注意力扩散模型的</w:t>
      </w:r>
      <w:r>
        <w:rPr/>
        <w:t>EEG</w:t>
      </w:r>
      <w:r>
        <w:rPr/>
        <w:t>数据增强方法</w:t>
      </w:r>
      <w:r>
        <w:rPr/>
        <w:t>.</w:t>
        <w:br/>
        <w:t xml:space="preserve">[5] </w:t>
      </w:r>
      <w:r>
        <w:rPr/>
        <w:t xml:space="preserve">李洁 </w:t>
      </w:r>
      <w:r>
        <w:rPr/>
        <w:t xml:space="preserve">(2025). </w:t>
      </w:r>
      <w:r>
        <w:rPr/>
        <w:t>基于对比学习的癫痫</w:t>
      </w:r>
      <w:r>
        <w:rPr/>
        <w:t>EEG</w:t>
      </w:r>
      <w:r>
        <w:rPr/>
        <w:t>预训练方法</w:t>
      </w:r>
      <w:r>
        <w:rPr/>
        <w:t>.</w:t>
        <w:br/>
        <w:t xml:space="preserve">[6] Ye </w:t>
      </w:r>
      <w:r>
        <w:rPr/>
        <w:t xml:space="preserve">等 </w:t>
      </w:r>
      <w:r>
        <w:rPr/>
        <w:t>(2025). Semi-Supervised Dual-Stream Self-Attentive Adversarial Graph Contrastive Learning for Cross-Subject EEG-Based Emotion Recognition.</w:t>
        <w:br/>
        <w:t xml:space="preserve">[7] Rommel </w:t>
      </w:r>
      <w:r>
        <w:rPr/>
        <w:t xml:space="preserve">等 </w:t>
      </w:r>
      <w:r>
        <w:rPr/>
        <w:t>(2022). CADDA: Class-wise Automatic Differentiable Data Augmentation for EEG Signals.</w:t>
        <w:br/>
        <w:t xml:space="preserve">[8] </w:t>
      </w:r>
      <w:r>
        <w:rPr/>
        <w:t xml:space="preserve">胡文蓉 </w:t>
      </w:r>
      <w:r>
        <w:rPr/>
        <w:t>(2025). MixUp</w:t>
      </w:r>
      <w:r>
        <w:rPr/>
        <w:t>及其变体在癫痫脑电信号分析中的应用比较</w:t>
      </w:r>
      <w:r>
        <w:rPr/>
        <w:t>.</w:t>
        <w:br/>
        <w:t xml:space="preserve">[9] </w:t>
      </w:r>
      <w:r>
        <w:rPr/>
        <w:t xml:space="preserve">郑敏敏 等 </w:t>
      </w:r>
      <w:r>
        <w:rPr/>
        <w:t xml:space="preserve">(2025). </w:t>
      </w:r>
      <w:r>
        <w:rPr/>
        <w:t>时频域数据增强及其在脑机接口中的应用</w:t>
      </w:r>
      <w:r>
        <w:rPr/>
        <w:t>.</w:t>
        <w:br/>
        <w:t xml:space="preserve">[10] </w:t>
      </w:r>
      <w:r>
        <w:rPr/>
        <w:t xml:space="preserve">张家政 </w:t>
      </w:r>
      <w:r>
        <w:rPr/>
        <w:t xml:space="preserve">(2025). </w:t>
      </w:r>
      <w:r>
        <w:rPr/>
        <w:t>脑肌电融合中的滑动窗口增强策略与工程实践</w:t>
      </w:r>
      <w:r>
        <w:rPr/>
        <w:t>.</w:t>
        <w:br/>
        <w:t xml:space="preserve">[11] </w:t>
      </w:r>
      <w:r>
        <w:rPr/>
        <w:t xml:space="preserve">宋飞宇 </w:t>
      </w:r>
      <w:r>
        <w:rPr/>
        <w:t xml:space="preserve">(2025). </w:t>
      </w:r>
      <w:r>
        <w:rPr/>
        <w:t>基于对比学习的运动想象脑电信号解码方法</w:t>
      </w:r>
      <w:r>
        <w:rPr/>
        <w:t>.</w:t>
        <w:br/>
        <w:t>[12] GMSS: Graph-Based Multi-Task Self-Supervised Learning for EEG Emotion Recognition.</w:t>
        <w:br/>
        <w:t xml:space="preserve">[13] </w:t>
      </w:r>
      <w:r>
        <w:rPr/>
        <w:t>基于半监督</w:t>
      </w:r>
      <w:r>
        <w:rPr/>
        <w:t>VAE</w:t>
      </w:r>
      <w:r>
        <w:rPr/>
        <w:t>和</w:t>
      </w:r>
      <w:r>
        <w:rPr/>
        <w:t>CGAN (</w:t>
      </w:r>
      <w:r>
        <w:rPr/>
        <w:t>无作者</w:t>
      </w:r>
      <w:r>
        <w:rPr/>
        <w:t>). SSVAE-CGAN</w:t>
      </w:r>
      <w:r>
        <w:rPr/>
        <w:t>用于运动想象脑电信号增强</w:t>
      </w:r>
      <w:r>
        <w:rPr/>
        <w:t>.</w:t>
        <w:br/>
        <w:t xml:space="preserve">[14] </w:t>
      </w:r>
      <w:r>
        <w:rPr/>
        <w:t xml:space="preserve">王欣然 </w:t>
      </w:r>
      <w:r>
        <w:rPr/>
        <w:t xml:space="preserve">(2025). MixReg: </w:t>
      </w:r>
      <w:r>
        <w:rPr/>
        <w:t>基于特征空间混合的跨时段脑纹识别方法</w:t>
      </w:r>
      <w:r>
        <w:rPr/>
        <w:t>.</w:t>
        <w:br/>
        <w:t>[15] Domain_Adaptation_for_Cross-Subject_Emotion_Recognition_by_Subject_Clustering.pdf.</w:t>
        <w:br/>
        <w:t xml:space="preserve">[16] </w:t>
      </w:r>
      <w:r>
        <w:rPr/>
        <w:t>基于半监督</w:t>
      </w:r>
      <w:r>
        <w:rPr/>
        <w:t>VAE</w:t>
      </w:r>
      <w:r>
        <w:rPr/>
        <w:t>和</w:t>
      </w:r>
      <w:r>
        <w:rPr/>
        <w:t>CGAN (</w:t>
      </w:r>
      <w:r>
        <w:rPr/>
        <w:t>无作者</w:t>
      </w:r>
      <w:r>
        <w:rPr/>
        <w:t xml:space="preserve">). </w:t>
      </w:r>
      <w:r>
        <w:rPr/>
        <w:t>生成对抗网络在脑电信号增强中的应用与评估</w:t>
      </w:r>
      <w:r>
        <w:rPr/>
        <w:t>.</w:t>
      </w:r>
    </w:p>
    <w:p>
      <w:pPr>
        <w:pStyle w:val="Normal"/>
        <w:bidi w:val="0"/>
        <w:jc w:val="left"/>
        <w:rPr/>
      </w:pPr>
      <w:r>
        <w:rPr/>
      </w:r>
    </w:p>
    <w:p>
      <w:pPr>
        <w:pStyle w:val="Normal"/>
        <w:bidi w:val="0"/>
        <w:jc w:val="left"/>
        <w:rPr>
          <w:rStyle w:val="Hyperlink"/>
        </w:rPr>
      </w:pPr>
      <w:r>
        <w:rPr/>
      </w:r>
    </w:p>
    <w:sectPr>
      <w:type w:val="nextPage"/>
      <w:pgSz w:w="11906" w:h="16838"/>
      <w:pgMar w:left="1134" w:right="1134" w:gutter="0" w:header="0" w:top="1134" w:footer="0" w:bottom="1134"/>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OpenSymbol">
    <w:altName w:val="Arial Unicode MS"/>
    <w:charset w:val="01"/>
    <w:family w:val="roman"/>
    <w:pitch w:val="variable"/>
  </w:font>
  <w:font w:name="Liberation Sans">
    <w:altName w:val="Arial"/>
    <w:charset w:val="01"/>
    <w:family w:val="swiss"/>
    <w:pitch w:val="variable"/>
  </w:font>
</w:fonts>
</file>

<file path=word/settings.xml><?xml version="1.0" encoding="utf-8"?>
<w:settings xmlns:w="http://schemas.openxmlformats.org/wordprocessingml/2006/main">
  <w:zoom w:percent="120"/>
  <w:defaultTabStop w:val="420"/>
  <w:autoHyphenation w:val="true"/>
  <w:hyphenationZone w:val="0"/>
  <w:compat>
    <w:doNotBreakWrappedTables/>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思源宋体 CN" w:cs="Noto Sans CJK SC"/>
        <w:kern w:val="2"/>
        <w:sz w:val="24"/>
        <w:szCs w:val="24"/>
        <w:lang w:val="en-US" w:eastAsia="zh-CN" w:bidi="hi-IN"/>
      </w:rPr>
    </w:rPrDefault>
    <w:pPrDefault>
      <w:pPr>
        <w:suppressAutoHyphens w:val="true"/>
      </w:pPr>
    </w:pPrDefault>
  </w:docDefaults>
  <w:style w:type="paragraph" w:styleId="Normal">
    <w:name w:val="Normal"/>
    <w:qFormat/>
    <w:pPr>
      <w:widowControl/>
      <w:suppressAutoHyphens w:val="true"/>
      <w:bidi w:val="0"/>
      <w:spacing w:before="0" w:after="0"/>
      <w:jc w:val="left"/>
    </w:pPr>
    <w:rPr>
      <w:rFonts w:ascii="Liberation Serif" w:hAnsi="Liberation Serif" w:eastAsia="思源宋体 CN" w:cs="Noto Sans CJK SC"/>
      <w:color w:val="auto"/>
      <w:kern w:val="2"/>
      <w:sz w:val="24"/>
      <w:szCs w:val="24"/>
      <w:lang w:val="en-US" w:eastAsia="zh-CN" w:bidi="hi-IN"/>
    </w:rPr>
  </w:style>
  <w:style w:type="paragraph" w:styleId="Heading2">
    <w:name w:val="heading 2"/>
    <w:basedOn w:val="Style14"/>
    <w:next w:val="BodyText"/>
    <w:qFormat/>
    <w:pPr>
      <w:spacing w:before="200" w:after="120"/>
      <w:outlineLvl w:val="1"/>
    </w:pPr>
    <w:rPr>
      <w:rFonts w:ascii="Liberation Serif" w:hAnsi="Liberation Serif" w:eastAsia="思源宋体 CN" w:cs="Noto Sans CJK SC"/>
      <w:b/>
      <w:bCs/>
      <w:sz w:val="36"/>
      <w:szCs w:val="36"/>
    </w:rPr>
  </w:style>
  <w:style w:type="paragraph" w:styleId="Heading3">
    <w:name w:val="heading 3"/>
    <w:basedOn w:val="Style14"/>
    <w:next w:val="BodyText"/>
    <w:qFormat/>
    <w:pPr>
      <w:spacing w:before="140" w:after="120"/>
      <w:outlineLvl w:val="2"/>
    </w:pPr>
    <w:rPr>
      <w:rFonts w:ascii="Liberation Serif" w:hAnsi="Liberation Serif" w:eastAsia="思源宋体 CN" w:cs="Noto Sans CJK SC"/>
      <w:b/>
      <w:bCs/>
      <w:sz w:val="28"/>
      <w:szCs w:val="28"/>
    </w:rPr>
  </w:style>
  <w:style w:type="character" w:styleId="Style12">
    <w:name w:val="脚注符"/>
    <w:qFormat/>
    <w:rPr>
      <w:vertAlign w:val="superscript"/>
    </w:rPr>
  </w:style>
  <w:style w:type="character" w:styleId="user">
    <w:name w:val="脚注符 (user)"/>
    <w:qFormat/>
    <w:rPr>
      <w:vertAlign w:val="superscript"/>
    </w:rPr>
  </w:style>
  <w:style w:type="character" w:styleId="FootnoteReference">
    <w:name w:val="footnote reference"/>
    <w:rPr>
      <w:vertAlign w:val="superscript"/>
    </w:rPr>
  </w:style>
  <w:style w:type="character" w:styleId="Strong">
    <w:name w:val="Strong"/>
    <w:qFormat/>
    <w:rPr>
      <w:b/>
      <w:bCs/>
    </w:rPr>
  </w:style>
  <w:style w:type="character" w:styleId="Style13">
    <w:name w:val="项目符号"/>
    <w:qFormat/>
    <w:rPr>
      <w:rFonts w:ascii="OpenSymbol" w:hAnsi="OpenSymbol" w:eastAsia="OpenSymbol" w:cs="OpenSymbol"/>
    </w:rPr>
  </w:style>
  <w:style w:type="character" w:styleId="Hyperlink">
    <w:name w:val="Hyperlink"/>
    <w:rPr>
      <w:color w:val="000080"/>
      <w:u w:val="single"/>
    </w:rPr>
  </w:style>
  <w:style w:type="character" w:styleId="FollowedHyperlink">
    <w:name w:val="FollowedHyperlink"/>
    <w:rPr>
      <w:color w:val="800000"/>
      <w:u w:val="single"/>
    </w:rPr>
  </w:style>
  <w:style w:type="paragraph" w:styleId="Style14">
    <w:name w:val="标题样式"/>
    <w:basedOn w:val="Normal"/>
    <w:next w:val="BodyText"/>
    <w:qFormat/>
    <w:pPr>
      <w:keepNext w:val="true"/>
      <w:spacing w:before="240" w:after="120"/>
    </w:pPr>
    <w:rPr>
      <w:rFonts w:ascii="Liberation Sans" w:hAnsi="Liberation Sans" w:eastAsia="思源黑体 CN" w:cs="Noto Sans CJK SC"/>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CJK SC"/>
    </w:rPr>
  </w:style>
  <w:style w:type="paragraph" w:styleId="Caption">
    <w:name w:val="caption"/>
    <w:basedOn w:val="Normal"/>
    <w:qFormat/>
    <w:pPr>
      <w:suppressLineNumbers/>
      <w:spacing w:before="120" w:after="120"/>
    </w:pPr>
    <w:rPr>
      <w:rFonts w:cs="Noto Sans CJK SC"/>
      <w:i/>
      <w:iCs/>
      <w:sz w:val="24"/>
      <w:szCs w:val="24"/>
    </w:rPr>
  </w:style>
  <w:style w:type="paragraph" w:styleId="Style15">
    <w:name w:val="索引"/>
    <w:basedOn w:val="Normal"/>
    <w:qFormat/>
    <w:pPr>
      <w:suppressLineNumbers/>
    </w:pPr>
    <w:rPr>
      <w:rFonts w:cs="Noto Sans CJK SC"/>
    </w:rPr>
  </w:style>
  <w:style w:type="paragraph" w:styleId="user1">
    <w:name w:val="标题样式 (user)"/>
    <w:basedOn w:val="Normal"/>
    <w:next w:val="BodyText"/>
    <w:qFormat/>
    <w:pPr>
      <w:keepNext w:val="true"/>
      <w:spacing w:before="240" w:after="120"/>
    </w:pPr>
    <w:rPr>
      <w:rFonts w:ascii="Liberation Sans" w:hAnsi="Liberation Sans" w:eastAsia="思源黑体 CN" w:cs="Noto Sans CJK SC"/>
      <w:sz w:val="28"/>
      <w:szCs w:val="28"/>
    </w:rPr>
  </w:style>
  <w:style w:type="paragraph" w:styleId="user2">
    <w:name w:val="索引 (user)"/>
    <w:basedOn w:val="Normal"/>
    <w:qFormat/>
    <w:pPr>
      <w:suppressLineNumbers/>
    </w:pPr>
    <w:rPr>
      <w:rFonts w:cs="Noto Sans CJK SC"/>
    </w:rPr>
  </w:style>
  <w:style w:type="paragraph" w:styleId="user3">
    <w:name w:val="表格内容 (user)"/>
    <w:basedOn w:val="Normal"/>
    <w:qFormat/>
    <w:pPr>
      <w:widowControl w:val="false"/>
      <w:suppressLineNumbers/>
    </w:pPr>
    <w:rPr/>
  </w:style>
  <w:style w:type="paragraph" w:styleId="user4">
    <w:name w:val="表格标题 (user)"/>
    <w:basedOn w:val="user3"/>
    <w:qFormat/>
    <w:pPr>
      <w:suppressLineNumbers/>
      <w:jc w:val="center"/>
    </w:pPr>
    <w:rPr>
      <w:b/>
      <w:bCs/>
    </w:rPr>
  </w:style>
  <w:style w:type="paragraph" w:styleId="FootnoteText">
    <w:name w:val="footnote text"/>
    <w:basedOn w:val="Normal"/>
    <w:pPr>
      <w:suppressLineNumbers/>
      <w:ind w:hanging="340" w:left="340"/>
    </w:pPr>
    <w:rPr>
      <w:sz w:val="20"/>
      <w:szCs w:val="20"/>
    </w:rPr>
  </w:style>
  <w:style w:type="paragraph" w:styleId="Style16">
    <w:name w:val="水平线"/>
    <w:basedOn w:val="Normal"/>
    <w:next w:val="BodyText"/>
    <w:qFormat/>
    <w:pPr>
      <w:suppressLineNumbers/>
      <w:pBdr>
        <w:bottom w:val="double" w:sz="2" w:space="0" w:color="808080"/>
      </w:pBdr>
      <w:spacing w:before="0" w:after="283"/>
    </w:pPr>
    <w:rPr>
      <w:sz w:val="12"/>
      <w:szCs w:val="12"/>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77</TotalTime>
  <Application>LibreOffice/25.8.3.2$Linux_X86_64 LibreOffice_project/8ca8d55c161d602844f5428fa4b58097424e324e</Application>
  <AppVersion>15.0000</AppVersion>
  <Pages>3</Pages>
  <Words>2322</Words>
  <Characters>2977</Characters>
  <CharactersWithSpaces>3131</CharactersWithSpaces>
  <Paragraphs>21</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2025-11-30T16:40:51Z</dcterms:created>
  <dc:creator/>
  <dc:description/>
  <dc:language>zh-CN</dc:language>
  <cp:lastModifiedBy/>
  <dcterms:modified xsi:type="dcterms:W3CDTF">2025-11-30T18:59:29Z</dcterms:modified>
  <cp:revision>10</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zotero-version="7.0.30"&gt;&lt;session id="4F6lSgKi"/&gt;&lt;style id="http://www.zotero.org/styles/chicago-shortened-notes-bibliography" locale="zh-CN" hasBibliography="1" bibliographyStyleHasBeenSet="0"/&gt;&lt;prefs&gt;&lt;pref name="noteType" value="1"</vt:lpwstr>
  </property>
  <property fmtid="{D5CDD505-2E9C-101B-9397-08002B2CF9AE}" pid="3" name="ZOTERO_PREF_2">
    <vt:lpwstr>/&gt;&lt;pref name="fieldType" value="ReferenceMark"/&gt;&lt;/prefs&gt;&lt;/data&gt;</vt:lpwstr>
  </property>
</Properties>
</file>