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3426593" cy="2906829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в NASM используется для реализации безусловных переходов. Рассмотрим пример программы с использованием инструкции</w:t>
      </w:r>
      <w:r>
        <w:t xml:space="preserve"> </w:t>
      </w:r>
      <w:r>
        <w:rPr>
          <w:rStyle w:val="VerbatimChar"/>
        </w:rPr>
        <w:t xml:space="preserve">jmp</w:t>
      </w:r>
      <w:r>
        <w:t xml:space="preserve">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3907856" cy="5062888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125316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добавляем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_end</w:t>
      </w:r>
      <w:r>
        <w:t xml:space="preserve"> </w:t>
      </w:r>
      <w:r>
        <w:t xml:space="preserve">(т.е. переход к инструкции</w:t>
      </w:r>
      <w:r>
        <w:t xml:space="preserve"> </w:t>
      </w:r>
      <w:r>
        <w:rPr>
          <w:rStyle w:val="VerbatimChar"/>
        </w:rPr>
        <w:t xml:space="preserve">call quit</w:t>
      </w:r>
      <w:r>
        <w:t xml:space="preserve">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1125316"/>
            <wp:effectExtent b="0" l="0" r="0" t="0"/>
            <wp:docPr descr="Рис. 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39" w:name="fig:005"/>
      <w:r>
        <w:drawing>
          <wp:inline>
            <wp:extent cx="3994484" cy="5303520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чтобы вывод программы был следующим (рис. 6) (рис. 7):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4206240" cy="5342021"/>
            <wp:effectExtent b="0" l="0" r="0" t="0"/>
            <wp:docPr descr="Рис. 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7" w:name="fig:007"/>
      <w:r>
        <w:drawing>
          <wp:inline>
            <wp:extent cx="5334000" cy="1151909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  <w:r>
        <w:t xml:space="preserve"> </w:t>
      </w:r>
      <w:r>
        <w:t xml:space="preserve">Значения для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задаются в программе, значение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(рис. 8) (рис. 9).</w:t>
      </w:r>
    </w:p>
    <w:p>
      <w:pPr>
        <w:pStyle w:val="CaptionedFigure"/>
      </w:pPr>
      <w:bookmarkStart w:id="51" w:name="fig:008"/>
      <w:r>
        <w:drawing>
          <wp:inline>
            <wp:extent cx="5334000" cy="6204508"/>
            <wp:effectExtent b="0" l="0" r="0" t="0"/>
            <wp:docPr descr="Рис. 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5" w:name="fig:009"/>
      <w:r>
        <w:drawing>
          <wp:inline>
            <wp:extent cx="5334000" cy="1297459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bookmarkEnd w:id="56"/>
    <w:bookmarkStart w:id="69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bookmarkStart w:id="60" w:name="fig:010"/>
      <w:r>
        <w:drawing>
          <wp:inline>
            <wp:extent cx="5334000" cy="2827916"/>
            <wp:effectExtent b="0" l="0" r="0" t="0"/>
            <wp:docPr descr="Рис. 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1010879"/>
            <wp:effectExtent b="0" l="0" r="0" t="0"/>
            <wp:docPr descr="Рис. 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8" w:name="fig:012"/>
      <w:r>
        <w:drawing>
          <wp:inline>
            <wp:extent cx="5334000" cy="2530500"/>
            <wp:effectExtent b="0" l="0" r="0" t="0"/>
            <wp:docPr descr="Рис. 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9 - 24,98,15</w:t>
      </w:r>
    </w:p>
    <w:p>
      <w:pPr>
        <w:pStyle w:val="CaptionedFigure"/>
      </w:pPr>
      <w:bookmarkStart w:id="73" w:name="fig:013"/>
      <w:r>
        <w:drawing>
          <wp:inline>
            <wp:extent cx="5334000" cy="6564200"/>
            <wp:effectExtent b="0" l="0" r="0" t="0"/>
            <wp:docPr descr="Рис. 13: Программа lab7-task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lab7-task1.asm</w:t>
      </w:r>
    </w:p>
    <w:p>
      <w:pPr>
        <w:pStyle w:val="CaptionedFigure"/>
      </w:pPr>
      <w:bookmarkStart w:id="77" w:name="fig:014"/>
      <w:r>
        <w:drawing>
          <wp:inline>
            <wp:extent cx="5334000" cy="1295503"/>
            <wp:effectExtent b="0" l="0" r="0" t="0"/>
            <wp:docPr descr="Рис. 14: Запуск программы lab7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программы lab7-task1.asm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вычисляет значение заданной функции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и выводит результат вычислений.</w:t>
      </w:r>
      <w:r>
        <w:t xml:space="preserve"> </w:t>
      </w:r>
      <w:r>
        <w:t xml:space="preserve">Вид функции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из 7.6. (рис. 15) (рис. 16)</w:t>
      </w:r>
    </w:p>
    <w:p>
      <w:pPr>
        <w:pStyle w:val="BodyText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получается 12.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4.</w:t>
      </w:r>
    </w:p>
    <w:p>
      <w:pPr>
        <w:pStyle w:val="CaptionedFigure"/>
      </w:pPr>
      <w:bookmarkStart w:id="81" w:name="fig:015"/>
      <w:r>
        <w:drawing>
          <wp:inline>
            <wp:extent cx="4581625" cy="4504623"/>
            <wp:effectExtent b="0" l="0" r="0" t="0"/>
            <wp:docPr descr="Рис. 15: Программа lab7-task2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Программа lab7-task2.asm</w:t>
      </w:r>
    </w:p>
    <w:p>
      <w:pPr>
        <w:pStyle w:val="CaptionedFigure"/>
      </w:pPr>
      <w:bookmarkStart w:id="85" w:name="fig:016"/>
      <w:r>
        <w:drawing>
          <wp:inline>
            <wp:extent cx="5334000" cy="1845275"/>
            <wp:effectExtent b="0" l="0" r="0" t="0"/>
            <wp:docPr descr="Рис. 16: Запуск программы lab7-task2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программы lab7-task2.asm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Сюй Хайфэн</dc:creator>
  <dc:language>ru-RU</dc:language>
  <cp:keywords/>
  <dcterms:created xsi:type="dcterms:W3CDTF">2025-03-19T18:01:09Z</dcterms:created>
  <dcterms:modified xsi:type="dcterms:W3CDTF">2025-03-19T18:01:09Z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