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4340993" cy="379235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важно учитывать, 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Написал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226517" cy="5650029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070582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Изменил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(рис. 4). Теперь программа запускает бесконечный цикл при нечетном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 выводит только нечетные числа при 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36" w:name="fig:004"/>
      <w:r>
        <w:drawing>
          <wp:inline>
            <wp:extent cx="5332395" cy="5611528"/>
            <wp:effectExtent b="0" l="0" r="0" t="0"/>
            <wp:docPr descr="Рис. 4: Измененная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304707"/>
            <wp:effectExtent b="0" l="0" r="0" t="0"/>
            <wp:docPr descr="Рис. 5: Запуск измененной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использовал стек. Внес изменения в текст программы,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(для добавления в стек и извлечения из него значений), чтобы сохранить значение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(рис. 6). Создал исполняемый файл и проверил его работу (рис. 7). Теперь программа выводит числа от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до 0, при этом число проходов цикла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aptionedFigure"/>
      </w:pPr>
      <w:bookmarkStart w:id="44" w:name="fig:006"/>
      <w:r>
        <w:drawing>
          <wp:inline>
            <wp:extent cx="5334000" cy="5205573"/>
            <wp:effectExtent b="0" l="0" r="0" t="0"/>
            <wp:docPr descr="Рис. 6: Исправленная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487736"/>
            <wp:effectExtent b="0" l="0" r="0" t="0"/>
            <wp:docPr descr="Рис. 7: Запуск исправленной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 файл lab8-2.asm 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написал в него текст программы из листинга 8.2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130265" cy="4263991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415288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10) (рис. 11).</w:t>
      </w:r>
    </w:p>
    <w:p>
      <w:pPr>
        <w:pStyle w:val="CaptionedFigure"/>
      </w:pPr>
      <w:bookmarkStart w:id="60" w:name="fig:010"/>
      <w:r>
        <w:drawing>
          <wp:inline>
            <wp:extent cx="5334000" cy="5352112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810137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12) (рис. 13).</w:t>
      </w:r>
    </w:p>
    <w:p>
      <w:pPr>
        <w:pStyle w:val="CaptionedFigure"/>
      </w:pPr>
      <w:bookmarkStart w:id="68" w:name="fig:012"/>
      <w:r>
        <w:drawing>
          <wp:inline>
            <wp:extent cx="5334000" cy="5575669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877746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14) (рис. 15).</w:t>
      </w:r>
    </w:p>
    <w:p>
      <w:pPr>
        <w:pStyle w:val="BodyText"/>
      </w:pPr>
      <w:r>
        <w:t xml:space="preserve">Для варианта 9: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10</m:t>
          </m:r>
          <m:r>
            <m:t>x</m:t>
          </m:r>
          <m:r>
            <m:rPr>
              <m:sty m:val="p"/>
            </m:rPr>
            <m:t>−</m:t>
          </m:r>
          <m:r>
            <m:t>4</m:t>
          </m:r>
        </m:oMath>
      </m:oMathPara>
    </w:p>
    <w:p>
      <w:pPr>
        <w:pStyle w:val="CaptionedFigure"/>
      </w:pPr>
      <w:bookmarkStart w:id="77" w:name="fig:014"/>
      <w:r>
        <w:drawing>
          <wp:inline>
            <wp:extent cx="4629751" cy="6294922"/>
            <wp:effectExtent b="0" l="0" r="0" t="0"/>
            <wp:docPr descr="Рис. 14: Программа task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bookmarkStart w:id="81" w:name="fig:015"/>
      <w:r>
        <w:drawing>
          <wp:inline>
            <wp:extent cx="5334000" cy="1733917"/>
            <wp:effectExtent b="0" l="0" r="0" t="0"/>
            <wp:docPr descr="Рис. 15: Запуск программы task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Убедился,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46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Сюй Хайфэн</dc:creator>
  <dc:language>ru-RU</dc:language>
  <cp:keywords/>
  <dcterms:created xsi:type="dcterms:W3CDTF">2025-03-19T18:17:07Z</dcterms:created>
  <dcterms:modified xsi:type="dcterms:W3CDTF">2025-03-19T18:17:07Z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