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Тестовый договор 8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«11»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Тестового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Т8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Т8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«11»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Тестового и.Т.,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Т8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«11»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договор 8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Тестовый и.Т.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Т8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