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3A5C"/>
      </w:pPr>
      <w:r>
        <w:rPr>
          <w:b/>
          <w:color w:val="FFFFFF"/>
          <w:sz w:val="72"/>
        </w:rPr>
        <w:br/>
        <w:t xml:space="preserve">  SUIVIA</w:t>
        <w:br/>
      </w:r>
    </w:p>
    <w:p>
      <w:pPr>
        <w:jc w:val="center"/>
        <w:shd w:val="clear" w:color="auto" w:fill="1A3A5C"/>
      </w:pPr>
      <w:r>
        <w:rPr>
          <w:color w:val="A8C8F0"/>
          <w:sz w:val="32"/>
        </w:rPr>
        <w:t xml:space="preserve">  Módulo de Recebimento Fiscal Inteligente  </w:t>
        <w:br/>
      </w:r>
    </w:p>
    <w:p/>
    <w:p>
      <w:pPr>
        <w:jc w:val="center"/>
      </w:pPr>
      <w:r>
        <w:rPr>
          <w:i/>
          <w:color w:val="444444"/>
          <w:sz w:val="24"/>
        </w:rPr>
        <w:t>Documento de Requisitos Funcionais, Arquitetura Técnica e Protótipos de Interface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2.0</w:t>
            </w:r>
          </w:p>
        </w:tc>
      </w:tr>
      <w:tr>
        <w:tc>
          <w:tcPr>
            <w:tcW w:type="dxa" w:w="456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Março 2025 / Atualizado Junho 2026</w:t>
            </w:r>
          </w:p>
        </w:tc>
      </w:tr>
      <w:tr>
        <w:tc>
          <w:tcPr>
            <w:tcW w:type="dxa" w:w="456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Em Elaboração</w:t>
            </w:r>
          </w:p>
        </w:tc>
      </w:tr>
      <w:tr>
        <w:tc>
          <w:tcPr>
            <w:tcW w:type="dxa" w:w="456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Ferroport</w:t>
            </w:r>
          </w:p>
        </w:tc>
      </w:tr>
      <w:tr>
        <w:tc>
          <w:tcPr>
            <w:tcW w:type="dxa" w:w="456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Confidencial</w:t>
            </w:r>
          </w:p>
        </w:tc>
      </w:tr>
    </w:tbl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SUMÁRIO EXECUTIVO  </w:t>
      </w:r>
    </w:p>
    <w:p>
      <w:pPr>
        <w:spacing w:after="80"/>
      </w:pPr>
      <w:r>
        <w:rPr>
          <w:i w:val="0"/>
          <w:color w:val="222222"/>
          <w:sz w:val="20"/>
        </w:rPr>
        <w:t>Este documento apresenta a especificação completa do sistema SUIVIA — Módulo de Recebimento Fiscal Inteligente.</w:t>
      </w:r>
    </w:p>
    <w:p>
      <w:pPr>
        <w:spacing w:after="80"/>
      </w:pPr>
      <w:r>
        <w:rPr>
          <w:i w:val="0"/>
          <w:color w:val="222222"/>
          <w:sz w:val="20"/>
        </w:rPr>
        <w:t>O SUIVIA é uma plataforma SaaS serverless que automatiza e audita todo o ciclo de recebimento de notas fiscais, desde a captura multicanal até a baixa no ERP, eliminando intervenção manual em ao menos 80% das notas processadas.</w:t>
      </w:r>
    </w:p>
    <w:p/>
    <w:p>
      <w:pPr>
        <w:spacing w:before="160" w:after="40"/>
      </w:pPr>
      <w:r>
        <w:rPr>
          <w:b/>
          <w:color w:val="1A3A5C"/>
          <w:sz w:val="22"/>
        </w:rPr>
        <w:t>Seções do Documento:</w:t>
      </w:r>
    </w:p>
    <w:p>
      <w:pPr>
        <w:pStyle w:val="ListBullet"/>
        <w:spacing w:after="60"/>
        <w:ind w:left="283"/>
      </w:pPr>
      <w:r>
        <w:rPr>
          <w:sz w:val="20"/>
        </w:rPr>
        <w:t>1. Visão Geral do Sistema SUIVIA</w:t>
      </w:r>
    </w:p>
    <w:p>
      <w:pPr>
        <w:pStyle w:val="ListBullet"/>
        <w:spacing w:after="60"/>
        <w:ind w:left="283"/>
      </w:pPr>
      <w:r>
        <w:rPr>
          <w:sz w:val="20"/>
        </w:rPr>
        <w:t>2. Arquitetura Técnica AWS (Serverless Event-Driven)</w:t>
      </w:r>
    </w:p>
    <w:p>
      <w:pPr>
        <w:pStyle w:val="ListBullet"/>
        <w:spacing w:after="60"/>
        <w:ind w:left="283"/>
      </w:pPr>
      <w:r>
        <w:rPr>
          <w:sz w:val="20"/>
        </w:rPr>
        <w:t>3. Modelo de Dados (Staging DynamoDB + Core PostgreSQL)</w:t>
      </w:r>
    </w:p>
    <w:p>
      <w:pPr>
        <w:pStyle w:val="ListBullet"/>
        <w:spacing w:after="60"/>
        <w:ind w:left="283"/>
      </w:pPr>
      <w:r>
        <w:rPr>
          <w:sz w:val="20"/>
        </w:rPr>
        <w:t>4. Motor de Conciliação Inteligente (3-Way Match + Fuzzy)</w:t>
      </w:r>
    </w:p>
    <w:p>
      <w:pPr>
        <w:pStyle w:val="ListBullet"/>
        <w:spacing w:after="60"/>
        <w:ind w:left="283"/>
      </w:pPr>
      <w:r>
        <w:rPr>
          <w:sz w:val="20"/>
        </w:rPr>
        <w:t>5. Requisitos Funcionais Completos (RF01 – RF15)</w:t>
      </w:r>
    </w:p>
    <w:p>
      <w:pPr>
        <w:pStyle w:val="ListBullet"/>
        <w:spacing w:after="60"/>
        <w:ind w:left="283"/>
      </w:pPr>
      <w:r>
        <w:rPr>
          <w:sz w:val="20"/>
        </w:rPr>
        <w:t>6. Regras de Negócio (RN01 – RN08)</w:t>
      </w:r>
    </w:p>
    <w:p>
      <w:pPr>
        <w:pStyle w:val="ListBullet"/>
        <w:spacing w:after="60"/>
        <w:ind w:left="283"/>
      </w:pPr>
      <w:r>
        <w:rPr>
          <w:sz w:val="20"/>
        </w:rPr>
        <w:t>7. Diferenciais Competitivos (vs SAP VIM / TOTVS / Qive)</w:t>
      </w:r>
    </w:p>
    <w:p>
      <w:pPr>
        <w:pStyle w:val="ListBullet"/>
        <w:spacing w:after="60"/>
        <w:ind w:left="283"/>
      </w:pPr>
      <w:r>
        <w:rPr>
          <w:sz w:val="20"/>
        </w:rPr>
        <w:t>8. Protótipos de Interface (6 telas principais)</w:t>
      </w:r>
    </w:p>
    <w:p>
      <w:pPr>
        <w:pStyle w:val="ListBullet"/>
        <w:spacing w:after="60"/>
        <w:ind w:left="283"/>
      </w:pPr>
      <w:r>
        <w:rPr>
          <w:sz w:val="20"/>
        </w:rPr>
        <w:t>9. Roadmap de Implementação (4 Fases — MVP ao SaaS)</w:t>
      </w:r>
    </w:p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1. VISÃO GERAL DO SISTEMA SUIVIA  </w:t>
      </w:r>
    </w:p>
    <w:p>
      <w:pPr>
        <w:spacing w:after="80"/>
      </w:pPr>
      <w:r>
        <w:rPr>
          <w:i w:val="0"/>
          <w:color w:val="222222"/>
          <w:sz w:val="20"/>
        </w:rPr>
        <w:t>O SUIVIA é um módulo SaaS de Recebimento Fiscal Inteligente que transforma um processo tipicamente manual, lento e sujeito a erros em um fluxo automatizado, auditável e orientado a dados. O sistema realiza o batimento de 3 pontas (Nota Fiscal × Pedido de Compra × Recebimento Físico), classifica divergências por severidade, sugere ações automáticas e permite resolução em lote — tudo em uma interface desenhada para máxima produtividade do analista fiscal.</w:t>
      </w:r>
    </w:p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1.1 Objetivo Principal</w:t>
      </w:r>
    </w:p>
    <w:p>
      <w:pPr>
        <w:spacing w:after="80"/>
      </w:pPr>
      <w:r>
        <w:rPr>
          <w:i w:val="0"/>
          <w:color w:val="222222"/>
          <w:sz w:val="20"/>
        </w:rPr>
        <w:t>Eliminar intervenção manual no processo de recebimento fiscal para ao menos 80% das notas recebidas (meta de Touchless Rate), garantindo conformidade tributária, rastreabilidade total e integração com qualquer ERP.</w:t>
      </w:r>
    </w:p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1.2 Tipos de Documentos Suportados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Origem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NFe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Nota Fiscal Eletrônica de Produto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XML / PDF (DANFE)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SEFAZ Estadual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NFSe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Nota Fiscal de Serviço Eletrônica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XML / PDF / Imagem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Prefeituras / Abrasf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CTe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Conhecimento de Transporte Eletrônico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XML / PDF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SEFAZ Federal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MDF-e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Manifesto Eletrônico de Documentos Fiscais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XML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SEFAZ Federal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Nota Manual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Nota fiscal em papel (digitalizada/foto)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JPG / PNG / PDF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Físico / Mobile</w:t>
            </w:r>
          </w:p>
        </w:tc>
      </w:tr>
    </w:tbl>
    <w:p/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2. ARQUITETURA TÉCNICA AWS  </w:t>
      </w:r>
    </w:p>
    <w:p>
      <w:pPr>
        <w:spacing w:after="80"/>
      </w:pPr>
      <w:r>
        <w:rPr>
          <w:i w:val="0"/>
          <w:color w:val="222222"/>
          <w:sz w:val="20"/>
        </w:rPr>
        <w:t>Arquitetura 100% serverless, orientada a eventos, desenhada para alto volume, alta disponibilidade e custo variável (pay-per-use). Utiliza o padrão Event-Driven com desacoplamento total entre ingestão, processamento e conciliação.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Componente AWS</w:t>
            </w:r>
          </w:p>
        </w:tc>
        <w:tc>
          <w:tcPr>
            <w:tcW w:type="dxa" w:w="456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Função no Sistema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Amazon S3 (Bucket: invoices-raw)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Recebe todos os arquivos: upload, e-mail (via SES), API externa. Versionado e com lifecycle policy para arquivamento.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Amazon EventBridge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Escuta evento 'PutObject' no S3 e dispara o fluxo de processamento. Centraliza roteamento de eventos.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AWS Step Functions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Máquina de estados que orquestra todo o pipeline. Garante retry, timeout e tratamento de falhas por etapa.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AWS Lambda (Classifier)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Identifica tipo e formato do arquivo. Roteia para Parser XML ou AWS Textract conforme extensão.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AWS Textract (AnalyzeExpense)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Extrai dados de PDFs e imagens com precisão semântica: Vendor, Total, Tax, Line Items com Bounding Boxes.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AWS Lambda (XML Parser)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Lê tags nativas da NFe/CTe: &lt;emit&gt;, &lt;dest&gt;, &lt;det&gt;, &lt;ICMSTot&gt;, &lt;xPed&gt;. Mais rápido e barato que Textract.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AWS Lambda (SEFAZ Validator)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Consulta chave de acesso 44 dígitos na API da SEFAZ. Verifica status: Autorizada, Cancelada, Denegada.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Amazon SQS (match-queue)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Fila que desacopla extração do motor de match. Suporta picos de volume sem perda de dados. DLQ para erros.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AWS Lambda (Match Engine)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Motor de conciliação: busca Pedido de Compra, aplica Score, classifica e grava resultado no banco.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Amazon DynamoDB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Staging area: armazena JSON bruto, status intermediários e dados do Textract. Leitura ultrarrápida para front-end.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Amazon Aurora PostgreSQL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Banco core: dados estruturados, tolerâncias, auditoria e ordens de baixa finalizadas para o ERP.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AWS AppSync / WebSocket API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Atualização em tempo real para o front-end: barra de progresso do lote, novas notas no Inbox, alertas.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AWS AppConfig (Feature Flags)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18"/>
              </w:rPr>
              <w:t>Permite ativar/desativar regras por cliente (multi-tenant). Controla tolerâncias, integrações e fluxos.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Amazon CloudWatch + X-Ray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Observabilidade completa: logs correlacionados por batch_id, tracing de cada nota, alertas de SLA.</w:t>
            </w:r>
          </w:p>
        </w:tc>
      </w:tr>
    </w:tbl>
    <w:p/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3. MODELO DE DADOS  </w:t>
      </w:r>
    </w:p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3.1 Staging (Base Temporária — DynamoDB)</w:t>
      </w:r>
    </w:p>
    <w:p>
      <w:pPr>
        <w:spacing w:before="160" w:after="40"/>
      </w:pPr>
      <w:r>
        <w:rPr>
          <w:b/>
          <w:color w:val="1A3A5C"/>
          <w:sz w:val="22"/>
        </w:rPr>
        <w:t>Tabela: invoice_staging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Índice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Identificador único da nota na staging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batch_id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ID do lote de processamento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GSI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email | upload | api | camera | s3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file_url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URL do arquivo original no S3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file_type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xml | pdf | jpg | png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raw_textract_json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Resposta bruta da AWS Textract AnalyzeExpense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supplier_cnpj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String(18)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CNPJ do emitente extraído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GSI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invoice_number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Número da nota fiscal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GSI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invoice_key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String(44)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Chave de acesso NFe (44 dígitos)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total_amount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Valor total da nota extraído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extracted_items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JSON[]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Array de itens: {desc, qty, unit_price, ncm}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sefaz_status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authorized | cancelled | denied | pending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processing | extracted | error | matched | rejected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Data/hora de entrada no sistema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processed_at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Data/hora de conclusão do processamento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40"/>
      </w:pPr>
      <w:r>
        <w:rPr>
          <w:b/>
          <w:color w:val="1A3A5C"/>
          <w:sz w:val="22"/>
        </w:rPr>
        <w:t>Tabela: invoice_match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PK da conciliação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staging_id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Referência à invoice_staging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purchase_order_id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Número do Pedido de Compra no ERP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match_score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Integer (0-100)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Score total de conciliação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header_match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{cnpj: true, value: false, date: true}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items_match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JSON[]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Comparativo item a item com flags de divergência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tax_match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Comparativo de impostos por tipo (ICMS, IPI, ISS)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matched | divergent | rejected | approved | posted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Usuário que aprovou (se manual)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approval_note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Justificativa de aprovação com ressalva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Data/hora da aprovação</w:t>
            </w:r>
          </w:p>
        </w:tc>
      </w:tr>
    </w:tbl>
    <w:p/>
    <w:p>
      <w:pPr>
        <w:spacing w:before="160" w:after="40"/>
      </w:pPr>
      <w:r>
        <w:rPr>
          <w:b/>
          <w:color w:val="1A3A5C"/>
          <w:sz w:val="22"/>
        </w:rPr>
        <w:t>Tabela: invoice_divergences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PK da divergência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invoice_id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Referência ao invoice_match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divergence_type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price | quantity | tax | missing_po | cancelled | duplicate | cnpj_mismatch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critical | high | medium | low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field_name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Campo com divergência (ex: unit_price, quantity)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expected_value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Decimal/String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Valor esperado conforme Pedido de Compra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actual_value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Decimal/String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Valor real conforme Nota Fiscal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difference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Diferença absoluta (actual - expected)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tolerance_applied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Se regra de tolerância foi aplicada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tolerance_rule_id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Referência à regra de tolerância aplicada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pending | auto_approved | manually_approved | rejected</w:t>
            </w:r>
          </w:p>
        </w:tc>
      </w:tr>
    </w:tbl>
    <w:p/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4. MOTOR DE CONCILIAÇÃO INTELIGENTE  </w:t>
      </w:r>
    </w:p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4.1 Fórmula de Score de Match</w:t>
      </w:r>
    </w:p>
    <w:p>
      <w:pPr>
        <w:spacing w:after="80"/>
      </w:pPr>
      <w:r>
        <w:rPr>
          <w:i w:val="0"/>
          <w:color w:val="222222"/>
          <w:sz w:val="20"/>
        </w:rPr>
        <w:t>O sistema calcula um score de 0 a 100 para cada nota. O score é composto de critérios com pesos distintos conforme importância fiscal e financeira: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Peso (%)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Obrigatório?</w:t>
            </w:r>
          </w:p>
        </w:tc>
        <w:tc>
          <w:tcPr>
            <w:tcW w:type="dxa" w:w="2280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CNPJ Emitente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SIM — Bloqueante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Se divergir, nota é rejeitada imediatamente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Valor Total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Não (tolerância)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Considera regras de tolerância configuradas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Itens / Quantidade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Não (tolerância)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Fuzzy match para descrições diferentes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Impostos (ICMS/ISS/IPI)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Não (alerta)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Divergência gera alerta mas não bloqueia</w:t>
            </w:r>
          </w:p>
        </w:tc>
      </w:tr>
      <w:tr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Data de Emissão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Não (alerta)</w:t>
            </w:r>
          </w:p>
        </w:tc>
        <w:tc>
          <w:tcPr>
            <w:tcW w:type="dxa" w:w="2280"/>
            <w:shd w:val="clear" w:color="auto" w:fill="EAF0FB"/>
          </w:tcPr>
          <w:p>
            <w:r>
              <w:rPr>
                <w:sz w:val="18"/>
              </w:rPr>
              <w:t>Valida prazo de recebimento configurável</w:t>
            </w:r>
          </w:p>
        </w:tc>
      </w:tr>
    </w:tbl>
    <w:p/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4.2 Classificação do Resultado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Faixa de Score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Ação Automática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APROVADA (Touchless)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Lança automaticamente no ERP. Zero intervenção.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90–99%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DIVERGENTE (Baixa)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Aplica tolerância se configurada. Alerta ao analista.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70–89%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DIVERGENTE (Média)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Vai para fila de exceções. Requer análise manual.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&lt; 70%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REJEITADA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Bloqueia pagamento. Notifica compras e fornecedor.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CNPJ Divergente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REJEITADA CRÍTICA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Bloqueio imediato. Log de auditoria obrigatório.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SEFAZ: Cancelada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REJEITADA CRÍTICA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Bloqueio imediato. Alerta financeiro.</w:t>
            </w:r>
          </w:p>
        </w:tc>
      </w:tr>
    </w:tbl>
    <w:p/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4.3 Lógica de Fuzzy Match para Itens</w:t>
      </w:r>
    </w:p>
    <w:p>
      <w:pPr>
        <w:spacing w:after="80"/>
      </w:pPr>
      <w:r>
        <w:rPr>
          <w:i w:val="0"/>
          <w:color w:val="222222"/>
          <w:sz w:val="20"/>
        </w:rPr>
        <w:t>Para itens onde a descrição do fornecedor difere da descrição no Pedido de Compra, o sistema aplica similaridade por:</w:t>
      </w:r>
    </w:p>
    <w:p>
      <w:pPr>
        <w:pStyle w:val="ListBullet"/>
        <w:spacing w:after="60"/>
        <w:ind w:left="283"/>
      </w:pPr>
      <w:r>
        <w:rPr>
          <w:sz w:val="20"/>
        </w:rPr>
        <w:t>Código NCM (obrigatório em NFe)</w:t>
      </w:r>
    </w:p>
    <w:p>
      <w:pPr>
        <w:pStyle w:val="ListBullet"/>
        <w:spacing w:after="60"/>
        <w:ind w:left="283"/>
      </w:pPr>
      <w:r>
        <w:rPr>
          <w:sz w:val="20"/>
        </w:rPr>
        <w:t>Código EAN/GTIN (quando disponível)</w:t>
      </w:r>
    </w:p>
    <w:p>
      <w:pPr>
        <w:pStyle w:val="ListBullet"/>
        <w:spacing w:after="60"/>
        <w:ind w:left="283"/>
      </w:pPr>
      <w:r>
        <w:rPr>
          <w:sz w:val="20"/>
        </w:rPr>
        <w:t>Código de produto do fornecedor (xPed, nItemPed)</w:t>
      </w:r>
    </w:p>
    <w:p>
      <w:pPr>
        <w:pStyle w:val="ListBullet"/>
        <w:spacing w:after="60"/>
        <w:ind w:left="283"/>
      </w:pPr>
      <w:r>
        <w:rPr>
          <w:sz w:val="20"/>
        </w:rPr>
        <w:t>Similaridade textual (Levenshtein distance &gt; 85%)</w:t>
      </w:r>
    </w:p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5. REQUISITOS FUNCIONAIS COMPLETOS (RF01–RF15)  </w:t>
      </w:r>
    </w:p>
    <w:p>
      <w:pPr>
        <w:spacing w:before="160" w:after="40"/>
      </w:pPr>
      <w:r>
        <w:rPr>
          <w:b/>
          <w:color w:val="1A3A5C"/>
          <w:sz w:val="22"/>
        </w:rPr>
        <w:t>RF01 — Captura Multicanal</w:t>
      </w:r>
    </w:p>
    <w:p>
      <w:pPr>
        <w:spacing w:after="80"/>
      </w:pPr>
      <w:r>
        <w:rPr>
          <w:i w:val="0"/>
          <w:color w:val="222222"/>
          <w:sz w:val="20"/>
        </w:rPr>
        <w:t>O sistema deve aceitar notas fiscais por: (a) Upload manual na tela com drag-and-drop múltiplo; (b) Varredura de caixa de e-mail dedicada (nfe@empresa.com); (c) API REST externa para integração com fornecedores e RPA; (d) Bucket S3 com entrada contínua; (e) Captura por câmera mobile (SUIVIA Camera).</w:t>
      </w:r>
    </w:p>
    <w:p/>
    <w:p>
      <w:pPr>
        <w:spacing w:before="160" w:after="40"/>
      </w:pPr>
      <w:r>
        <w:rPr>
          <w:b/>
          <w:color w:val="1A3A5C"/>
          <w:sz w:val="22"/>
        </w:rPr>
        <w:t>RF02 — Processamento em Lote (Batch)</w:t>
      </w:r>
    </w:p>
    <w:p>
      <w:pPr>
        <w:spacing w:after="80"/>
      </w:pPr>
      <w:r>
        <w:rPr>
          <w:i w:val="0"/>
          <w:color w:val="222222"/>
          <w:sz w:val="20"/>
        </w:rPr>
        <w:t>O sistema deve processar múltiplos arquivos de forma assíncrona. Cada lote recebe um ID único. Status do lote: Recebido &gt; Em Processamento &gt; Concluído / Concluído com Erros. Barra de progresso em tempo real via WebSocket. Isolamento total entre lotes.</w:t>
      </w:r>
    </w:p>
    <w:p/>
    <w:p>
      <w:pPr>
        <w:spacing w:before="160" w:after="40"/>
      </w:pPr>
      <w:r>
        <w:rPr>
          <w:b/>
          <w:color w:val="1A3A5C"/>
          <w:sz w:val="22"/>
        </w:rPr>
        <w:t>RF03 — Extração por IA (AWS Textract)</w:t>
      </w:r>
    </w:p>
    <w:p>
      <w:pPr>
        <w:spacing w:after="80"/>
      </w:pPr>
      <w:r>
        <w:rPr>
          <w:i w:val="0"/>
          <w:color w:val="222222"/>
          <w:sz w:val="20"/>
        </w:rPr>
        <w:t>Para documentos não-XML, o sistema chama AWS Textract AnalyzeExpense e extrai: Vendor Name, Vendor CNPJ, Invoice Total, Tax Amount, Line Items (Qty, Unit Price, Description). Os Bounding Boxes retornados são usados para highlight visual no PDF.</w:t>
      </w:r>
    </w:p>
    <w:p/>
    <w:p>
      <w:pPr>
        <w:spacing w:before="160" w:after="40"/>
      </w:pPr>
      <w:r>
        <w:rPr>
          <w:b/>
          <w:color w:val="1A3A5C"/>
          <w:sz w:val="22"/>
        </w:rPr>
        <w:t>RF04 — Parser XML Nativo</w:t>
      </w:r>
    </w:p>
    <w:p>
      <w:pPr>
        <w:spacing w:after="80"/>
      </w:pPr>
      <w:r>
        <w:rPr>
          <w:i w:val="0"/>
          <w:color w:val="222222"/>
          <w:sz w:val="20"/>
        </w:rPr>
        <w:t>Para arquivos XML de NFe/CTe, o sistema lê as tags nativas diretamente sem custo de Textract: &lt;emit&gt;CNPJ, &lt;dest&gt;CNPJ, &lt;nNF&gt;, &lt;dhEmi&gt;, &lt;vNF&gt;, &lt;det&gt;prod, &lt;ICMSTot&gt;, &lt;xPed&gt;. Tem prioridade sobre extração de PDF quando ambos chegam juntos.</w:t>
      </w:r>
    </w:p>
    <w:p/>
    <w:p>
      <w:pPr>
        <w:spacing w:before="160" w:after="40"/>
      </w:pPr>
      <w:r>
        <w:rPr>
          <w:b/>
          <w:color w:val="1A3A5C"/>
          <w:sz w:val="22"/>
        </w:rPr>
        <w:t>RF05 — Validação na SEFAZ</w:t>
      </w:r>
    </w:p>
    <w:p>
      <w:pPr>
        <w:spacing w:after="80"/>
      </w:pPr>
      <w:r>
        <w:rPr>
          <w:i w:val="0"/>
          <w:color w:val="222222"/>
          <w:sz w:val="20"/>
        </w:rPr>
        <w:t>Para NFe, o sistema consulta a chave de acesso (44 dígitos) no webservice da SEFAZ para confirmar status: Autorizada, Cancelada ou Denegada. Resultado é cacheado no DynamoDB por 24h. Nota cancelada é rejeitada automaticamente com bloqueio de pagamento.</w:t>
      </w:r>
    </w:p>
    <w:p/>
    <w:p>
      <w:pPr>
        <w:spacing w:before="160" w:after="40"/>
      </w:pPr>
      <w:r>
        <w:rPr>
          <w:b/>
          <w:color w:val="1A3A5C"/>
          <w:sz w:val="22"/>
        </w:rPr>
        <w:t>RF06 — Base de Staging Temporária</w:t>
      </w:r>
    </w:p>
    <w:p>
      <w:pPr>
        <w:spacing w:after="80"/>
      </w:pPr>
      <w:r>
        <w:rPr>
          <w:i w:val="0"/>
          <w:color w:val="222222"/>
          <w:sz w:val="20"/>
        </w:rPr>
        <w:t>Todos os dados extraídos ficam em base temporária até conciliação aprovada. Nenhum dado impacta relatórios financeiros oficiais antes da aprovação. Dados de staging são retidos por 90 dias para auditoria.</w:t>
      </w:r>
    </w:p>
    <w:p/>
    <w:p>
      <w:pPr>
        <w:spacing w:before="160" w:after="40"/>
      </w:pPr>
      <w:r>
        <w:rPr>
          <w:b/>
          <w:color w:val="1A3A5C"/>
          <w:sz w:val="22"/>
        </w:rPr>
        <w:t>RF07 — Identificação Automática do Pedido</w:t>
      </w:r>
    </w:p>
    <w:p>
      <w:pPr>
        <w:spacing w:after="80"/>
      </w:pPr>
      <w:r>
        <w:rPr>
          <w:i w:val="0"/>
          <w:color w:val="222222"/>
          <w:sz w:val="20"/>
        </w:rPr>
        <w:t>O sistema busca o número do Pedido de Compra no XML (tag &lt;xPed&gt;) ou via OCR no PDF. Se não encontrar, sugere automaticamente Pedidos em aberto do mesmo CNPJ com saldo suficiente. Sugestão ordenada por proximidade de valor e data.</w:t>
      </w:r>
    </w:p>
    <w:p/>
    <w:p>
      <w:pPr>
        <w:spacing w:before="160" w:after="40"/>
      </w:pPr>
      <w:r>
        <w:rPr>
          <w:b/>
          <w:color w:val="1A3A5C"/>
          <w:sz w:val="22"/>
        </w:rPr>
        <w:t>RF08 — Motor de Conciliação (3-Way Match)</w:t>
      </w:r>
    </w:p>
    <w:p>
      <w:pPr>
        <w:spacing w:after="80"/>
      </w:pPr>
      <w:r>
        <w:rPr>
          <w:i w:val="0"/>
          <w:color w:val="222222"/>
          <w:sz w:val="20"/>
        </w:rPr>
        <w:t>Concilia: CNPJ, Valor Total, Itens (Qty x Unit Price), Impostos e Data. Calcula score ponderado de 0 a 100. Classifica em Aprovada, Divergente ou Rejeitada. Registra cada divergência com tipo, severidade, valor esperado e valor real.</w:t>
      </w:r>
    </w:p>
    <w:p/>
    <w:p>
      <w:pPr>
        <w:spacing w:before="160" w:after="40"/>
      </w:pPr>
      <w:r>
        <w:rPr>
          <w:b/>
          <w:color w:val="1A3A5C"/>
          <w:sz w:val="22"/>
        </w:rPr>
        <w:t>RF09 — Regras de Tolerância Configuráveis</w:t>
      </w:r>
    </w:p>
    <w:p>
      <w:pPr>
        <w:spacing w:after="80"/>
      </w:pPr>
      <w:r>
        <w:rPr>
          <w:i w:val="0"/>
          <w:color w:val="222222"/>
          <w:sz w:val="20"/>
        </w:rPr>
        <w:t>Administradores configuram tolerâncias por Fornecedor, Categoria e Tipo de Nota. Exemplos: Divergência de frete até R$ 200 = auto-aprova. ICMS arredondado até R$ 1,00 = auto-aprova e lança na conta contábil de ajuste configurada. Histórico de tolerâncias no log de auditoria.</w:t>
      </w:r>
    </w:p>
    <w:p/>
    <w:p>
      <w:pPr>
        <w:spacing w:before="160" w:after="40"/>
      </w:pPr>
      <w:r>
        <w:rPr>
          <w:b/>
          <w:color w:val="1A3A5C"/>
          <w:sz w:val="22"/>
        </w:rPr>
        <w:t>RF10 — Fila de Exceções com Resolução em Lote</w:t>
      </w:r>
    </w:p>
    <w:p>
      <w:pPr>
        <w:spacing w:after="80"/>
      </w:pPr>
      <w:r>
        <w:rPr>
          <w:i w:val="0"/>
          <w:color w:val="222222"/>
          <w:sz w:val="20"/>
        </w:rPr>
        <w:t>Notas divergentes ficam em fila especializada. Filtros por tipo, severidade, fornecedor e valor. Ação em lote: 'Aprovar todas com divergência de preço &lt; R$ X'. Tempo médio de resolução exibido para gestão da equipe.</w:t>
      </w:r>
    </w:p>
    <w:p/>
    <w:p>
      <w:pPr>
        <w:spacing w:before="160" w:after="40"/>
      </w:pPr>
      <w:r>
        <w:rPr>
          <w:b/>
          <w:color w:val="1A3A5C"/>
          <w:sz w:val="22"/>
        </w:rPr>
        <w:t>RF11 — Aprovação e Baixa no ERP</w:t>
      </w:r>
    </w:p>
    <w:p>
      <w:pPr>
        <w:spacing w:after="80"/>
      </w:pPr>
      <w:r>
        <w:rPr>
          <w:i w:val="0"/>
          <w:color w:val="222222"/>
          <w:sz w:val="20"/>
        </w:rPr>
        <w:t>Após aprovação (automática ou manual), o sistema envia ordem de lançamento ao ERP via API. Suporta: lançamento de contas a pagar, ajuste de diferenças em conta transitória, bloqueio de pagamento para notas rejeitadas. Log de cada baixa com usuário e timestamp.</w:t>
      </w:r>
    </w:p>
    <w:p/>
    <w:p>
      <w:pPr>
        <w:spacing w:before="160" w:after="40"/>
      </w:pPr>
      <w:r>
        <w:rPr>
          <w:b/>
          <w:color w:val="1A3A5C"/>
          <w:sz w:val="22"/>
        </w:rPr>
        <w:t>RF12 — Dashboard em Tempo Real</w:t>
      </w:r>
    </w:p>
    <w:p>
      <w:pPr>
        <w:spacing w:after="80"/>
      </w:pPr>
      <w:r>
        <w:rPr>
          <w:i w:val="0"/>
          <w:color w:val="222222"/>
          <w:sz w:val="20"/>
        </w:rPr>
        <w:t>Cards: Total processado, % Touchless, % Divergentes, % Rejeitadas. Gráfico de volume por dia (7 dias). Gráfico de pizza distribuição do dia. Ranking de fornecedores com mais divergências. Log de eventos em tempo real.</w:t>
      </w:r>
    </w:p>
    <w:p/>
    <w:p>
      <w:pPr>
        <w:spacing w:before="160" w:after="40"/>
      </w:pPr>
      <w:r>
        <w:rPr>
          <w:b/>
          <w:color w:val="1A3A5C"/>
          <w:sz w:val="22"/>
        </w:rPr>
        <w:t>RF13 — SUIVIA Camera (Captura Mobile)</w:t>
      </w:r>
    </w:p>
    <w:p>
      <w:pPr>
        <w:spacing w:after="80"/>
      </w:pPr>
      <w:r>
        <w:rPr>
          <w:i w:val="0"/>
          <w:color w:val="222222"/>
          <w:sz w:val="20"/>
        </w:rPr>
        <w:t>App PWA mobile para captura de notas físicas por câmera. Detecção automática de bordas da nota. Correção de perspectiva, iluminação e desfoque. Leitura de QR Code e código de barras da NFe. Funciona offline, sincroniza ao reconectar. Notificação push após processamento.</w:t>
      </w:r>
    </w:p>
    <w:p/>
    <w:p>
      <w:pPr>
        <w:spacing w:before="160" w:after="40"/>
      </w:pPr>
      <w:r>
        <w:rPr>
          <w:b/>
          <w:color w:val="1A3A5C"/>
          <w:sz w:val="22"/>
        </w:rPr>
        <w:t>RF14 — Auditoria e Rastreabilidade</w:t>
      </w:r>
    </w:p>
    <w:p>
      <w:pPr>
        <w:spacing w:after="80"/>
      </w:pPr>
      <w:r>
        <w:rPr>
          <w:i w:val="0"/>
          <w:color w:val="222222"/>
          <w:sz w:val="20"/>
        </w:rPr>
        <w:t>Log imutável de todas as ações: extração, match, aprovação, rejeição, baixa no ERP. Campos: usuário, ação, dados antes e depois, timestamp, IP. Relatório de auditoria exportável em Excel/CSV por período e usuário.</w:t>
      </w:r>
    </w:p>
    <w:p/>
    <w:p>
      <w:pPr>
        <w:spacing w:before="160" w:after="40"/>
      </w:pPr>
      <w:r>
        <w:rPr>
          <w:b/>
          <w:color w:val="1A3A5C"/>
          <w:sz w:val="22"/>
        </w:rPr>
        <w:t>RF15 — Configurações Multi-Tenant</w:t>
      </w:r>
    </w:p>
    <w:p>
      <w:pPr>
        <w:spacing w:after="80"/>
      </w:pPr>
      <w:r>
        <w:rPr>
          <w:i w:val="0"/>
          <w:color w:val="222222"/>
          <w:sz w:val="20"/>
        </w:rPr>
        <w:t>Cada empresa cliente configura: contas contábeis para ajustes, regras de tolerância, ERP de destino, caixa de e-mail, usuários e permissões. Feature Flags via AWS AppConfig ativam funcionalidades por cliente sem deploy.</w:t>
      </w:r>
    </w:p>
    <w:p/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6. REGRAS DE NEGÓCIO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RN01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Prioridade XML sobre PDF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Se chegarem XML e PDF da mesma nota no mesmo lote, o XML tem prioridade. O PDF é usado apenas como visualizador (DANFE).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RN02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Bloqueio de Duplicidade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O sistema não processa nem gera custo de Textract para notas com chave de acesso já existente na staging ou no core. Alerta o operador.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RN03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CNPJ é Bloqueante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Divergência de CNPJ entre nota e pedido rejeitada imediatamente. Não aplicável tolerância. Log de auditoria obrigatório.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RN04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Prazo de Recebimento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Notas com data de emissão superior a 60 dias (configurável) geram alerta de 'Nota Atrasada' e são sinalizadas para análise fiscal.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RN05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Conta Contábil de Ajuste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Toda tolerância aplicada deve gerar lançamento automático na conta contábil de ajuste configurada pela empresa. Rastreável na auditoria.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RN06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Aprovação com Ressalva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Aprovação forçada de nota com divergência fora da tolerância requer justificativa obrigatória (mínimo 30 caracteres) e aprovação de perfil gerencial.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RN07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Aprendizado de Tolerância</w:t>
            </w:r>
          </w:p>
        </w:tc>
        <w:tc>
          <w:tcPr>
            <w:tcW w:type="dxa" w:w="3041"/>
            <w:shd w:val="clear" w:color="auto" w:fill="EAF0FB"/>
          </w:tcPr>
          <w:p>
            <w:r>
              <w:rPr>
                <w:sz w:val="18"/>
              </w:rPr>
              <w:t>Se o sistema detectar que o operador aprovou a mesma divergência de um fornecedor 5 vezes, sugere criação de regra de tolerância automática.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RN08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NFSe sem XML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Para notas de serviço sem XML (emitidas por prefeituras sem padrão Abrasf), o sistema usa obrigatoriamente Textract + validação manual de CNPJ e valor.</w:t>
            </w:r>
          </w:p>
        </w:tc>
      </w:tr>
    </w:tbl>
    <w:p/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7. DIFERENCIAIS COMPETITIVOS  </w:t>
      </w:r>
    </w:p>
    <w:p>
      <w:pPr>
        <w:spacing w:after="80"/>
      </w:pPr>
      <w:r>
        <w:rPr>
          <w:i w:val="0"/>
          <w:color w:val="222222"/>
          <w:sz w:val="20"/>
        </w:rPr>
        <w:t>Comparativo direto com os sistemas mais utilizados no mercado: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82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SAP VIM</w:t>
            </w:r>
          </w:p>
        </w:tc>
        <w:tc>
          <w:tcPr>
            <w:tcW w:type="dxa" w:w="182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TOTVS</w:t>
            </w:r>
          </w:p>
        </w:tc>
        <w:tc>
          <w:tcPr>
            <w:tcW w:type="dxa" w:w="182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Qive</w:t>
            </w:r>
          </w:p>
        </w:tc>
        <w:tc>
          <w:tcPr>
            <w:tcW w:type="dxa" w:w="182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SUIVIA</w:t>
            </w:r>
          </w:p>
        </w:tc>
      </w:tr>
      <w:tr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Captura por câmera mobile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SIM (PWA Nativo)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Score de match visual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SIM (0–100 por critério)</w:t>
            </w:r>
          </w:p>
        </w:tc>
      </w:tr>
      <w:tr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Resolução em lote de exceções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Limitado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SIM (por valor/tipo)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Highlight no PDF (Bounding Box)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SIM (via Textract)</w:t>
            </w:r>
          </w:p>
        </w:tc>
      </w:tr>
      <w:tr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Sugestão automática de Pedido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SIM (IA + CNPJ + Valor)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Aprendizado por histórico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SIM (sugestão tolerância)</w:t>
            </w:r>
          </w:p>
        </w:tc>
      </w:tr>
      <w:tr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Interface keyboard-first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SIM (atalhos completos)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Funciona offline (mobile)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SIM (PWA)</w:t>
            </w:r>
          </w:p>
        </w:tc>
      </w:tr>
      <w:tr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Multi-tenant SaaS nativo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824"/>
            <w:shd w:val="clear" w:color="auto" w:fill="EAF0FB"/>
          </w:tcPr>
          <w:p>
            <w:r>
              <w:rPr>
                <w:sz w:val="18"/>
              </w:rPr>
              <w:t>SIM (Feature Flags)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Custo variável (serverless)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SIM (pay-per-use AWS)</w:t>
            </w:r>
          </w:p>
        </w:tc>
      </w:tr>
    </w:tbl>
    <w:p/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8. PROTÓTIPOS DE INTERFACE  </w:t>
      </w:r>
    </w:p>
    <w:p>
      <w:pPr>
        <w:spacing w:after="80"/>
      </w:pPr>
      <w:r>
        <w:rPr>
          <w:i w:val="0"/>
          <w:color w:val="222222"/>
          <w:sz w:val="20"/>
        </w:rPr>
        <w:t>Os protótipos representam as 6 telas principais do sistema SUIVIA. O design segue o padrão F-Pattern de leitura, cores semânticas inconfundíveis (verde=OK, amarelo=atenção, vermelho=crítico) e princípio keyboard-first para máxima produtividade.</w:t>
      </w:r>
    </w:p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Tela 1 — Dashboard Principal</w:t>
      </w:r>
    </w:p>
    <w:p>
      <w:pPr>
        <w:spacing w:after="80"/>
      </w:pPr>
      <w:r>
        <w:rPr>
          <w:i/>
          <w:color w:val="222222"/>
          <w:sz w:val="20"/>
        </w:rPr>
        <w:t>Visão gerencial do dia com cards de status, gráfico de volume semanal, pizza de distribuição e alertas críticos. Cards são clicáveis e funcionam como filtros rápidos para a Inbox.</w:t>
      </w:r>
    </w:p>
    <w:p>
      <w:pPr>
        <w:pStyle w:val="ListBullet"/>
        <w:spacing w:after="60"/>
        <w:ind w:left="283"/>
      </w:pPr>
      <w:r>
        <w:rPr>
          <w:sz w:val="20"/>
        </w:rPr>
        <w:t>Cards KPI: Aprovadas (380), Divergentes (110), Rejeitadas (10), Touchless Rate (77%)</w:t>
      </w:r>
    </w:p>
    <w:p>
      <w:pPr>
        <w:pStyle w:val="ListBullet"/>
        <w:spacing w:after="60"/>
        <w:ind w:left="283"/>
      </w:pPr>
      <w:r>
        <w:rPr>
          <w:sz w:val="20"/>
        </w:rPr>
        <w:t>Gráfico de barras: Volume das Notas — 7 dias (Aprovadas / Divergentes / Rejeitadas)</w:t>
      </w:r>
    </w:p>
    <w:p>
      <w:pPr>
        <w:pStyle w:val="ListBullet"/>
        <w:spacing w:after="60"/>
        <w:ind w:left="283"/>
      </w:pPr>
      <w:r>
        <w:rPr>
          <w:sz w:val="20"/>
        </w:rPr>
        <w:t>Gráfico de pizza: Distribuição do dia (Aprovadas 77%, Divergentes 22%, Rejeitadas 1%)</w:t>
      </w:r>
    </w:p>
    <w:p>
      <w:pPr>
        <w:pStyle w:val="ListBullet"/>
        <w:spacing w:after="60"/>
        <w:ind w:left="283"/>
      </w:pPr>
      <w:r>
        <w:rPr>
          <w:sz w:val="20"/>
        </w:rPr>
        <w:t>Top Divergências por fornecedor (ranking lateral direito)</w:t>
      </w:r>
    </w:p>
    <w:p>
      <w:pPr>
        <w:pStyle w:val="ListBullet"/>
        <w:spacing w:after="60"/>
        <w:ind w:left="283"/>
      </w:pPr>
      <w:r>
        <w:rPr>
          <w:sz w:val="20"/>
        </w:rPr>
        <w:t>Log de alertas críticos em tempo real (rodapé)</w:t>
      </w:r>
    </w:p>
    <w:p>
      <w:pPr>
        <w:pStyle w:val="ListBullet"/>
        <w:spacing w:after="60"/>
        <w:ind w:left="283"/>
      </w:pPr>
      <w:r>
        <w:rPr>
          <w:sz w:val="20"/>
        </w:rPr>
        <w:t>Indicadores comparativos vs dia anterior</w:t>
      </w:r>
    </w:p>
    <w:p/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Tela 2 — Inbox de Notas Fiscais</w:t>
      </w:r>
    </w:p>
    <w:p>
      <w:pPr>
        <w:spacing w:after="80"/>
      </w:pPr>
      <w:r>
        <w:rPr>
          <w:i/>
          <w:color w:val="222222"/>
          <w:sz w:val="20"/>
        </w:rPr>
        <w:t>Tela de operação principal. Lista de notas com status visual por cor, score de match, pedido vinculado e ações rápidas por linha. Barra de ações em lote no rodapé para resolução massiva.</w:t>
      </w:r>
    </w:p>
    <w:p>
      <w:pPr>
        <w:pStyle w:val="ListBullet"/>
        <w:spacing w:after="60"/>
        <w:ind w:left="283"/>
      </w:pPr>
      <w:r>
        <w:rPr>
          <w:sz w:val="20"/>
        </w:rPr>
        <w:t>Colunas: Status (badge colorido), Nro NF, Fornecedor, Valor (R$), Score, PC Vinculado, Ações</w:t>
      </w:r>
    </w:p>
    <w:p>
      <w:pPr>
        <w:pStyle w:val="ListBullet"/>
        <w:spacing w:after="60"/>
        <w:ind w:left="283"/>
      </w:pPr>
      <w:r>
        <w:rPr>
          <w:sz w:val="20"/>
        </w:rPr>
        <w:t>Filtros por status: Todos | Aprovadas | Divergentes | Rejeitadas</w:t>
      </w:r>
    </w:p>
    <w:p>
      <w:pPr>
        <w:pStyle w:val="ListBullet"/>
        <w:spacing w:after="60"/>
        <w:ind w:left="283"/>
      </w:pPr>
      <w:r>
        <w:rPr>
          <w:sz w:val="20"/>
        </w:rPr>
        <w:t>Ações por linha: Aprovar / Rejeitar / Visualizar</w:t>
      </w:r>
    </w:p>
    <w:p>
      <w:pPr>
        <w:pStyle w:val="ListBullet"/>
        <w:spacing w:after="60"/>
        <w:ind w:left="283"/>
      </w:pPr>
      <w:r>
        <w:rPr>
          <w:sz w:val="20"/>
        </w:rPr>
        <w:t>Barra inferior lote: Selecionar Todos | Divergentes | Rejeitados</w:t>
      </w:r>
    </w:p>
    <w:p>
      <w:pPr>
        <w:pStyle w:val="ListBullet"/>
        <w:spacing w:after="60"/>
        <w:ind w:left="283"/>
      </w:pPr>
      <w:r>
        <w:rPr>
          <w:sz w:val="20"/>
        </w:rPr>
        <w:t>Ações em lote: Aprovar Lote | Rejeitar Lote | Vincular PC | Agendar</w:t>
      </w:r>
    </w:p>
    <w:p/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Tela 3 — Detalhe da Nota (Split-Screen)</w:t>
      </w:r>
    </w:p>
    <w:p>
      <w:pPr>
        <w:spacing w:after="80"/>
      </w:pPr>
      <w:r>
        <w:rPr>
          <w:i/>
          <w:color w:val="222222"/>
          <w:sz w:val="20"/>
        </w:rPr>
        <w:t>Tela de conciliação lado a lado: PDF/imagem da nota com highlight dos campos extraídos (Bounding Box) à esquerda, e análise comparativa estruturada com sugestão inteligente à direita.</w:t>
      </w:r>
    </w:p>
    <w:p>
      <w:pPr>
        <w:pStyle w:val="ListBullet"/>
        <w:spacing w:after="60"/>
        <w:ind w:left="283"/>
      </w:pPr>
      <w:r>
        <w:rPr>
          <w:sz w:val="20"/>
        </w:rPr>
        <w:t>Visualizador do Documento Original (PDF/imagem com Bounding Boxes destacados)</w:t>
      </w:r>
    </w:p>
    <w:p>
      <w:pPr>
        <w:pStyle w:val="ListBullet"/>
        <w:spacing w:after="60"/>
        <w:ind w:left="283"/>
      </w:pPr>
      <w:r>
        <w:rPr>
          <w:sz w:val="20"/>
        </w:rPr>
        <w:t>Análise de Conciliação: Cabeçalho (CNPJ, Valor, Data) com status OK/FAIL por campo</w:t>
      </w:r>
    </w:p>
    <w:p>
      <w:pPr>
        <w:pStyle w:val="ListBullet"/>
        <w:spacing w:after="60"/>
        <w:ind w:left="283"/>
      </w:pPr>
      <w:r>
        <w:rPr>
          <w:sz w:val="20"/>
        </w:rPr>
        <w:t>Sugestão Inteligente SUIVIA: 7 Pedidos em aberto do CNPJ com saldo suficiente</w:t>
      </w:r>
    </w:p>
    <w:p>
      <w:pPr>
        <w:pStyle w:val="ListBullet"/>
        <w:spacing w:after="60"/>
        <w:ind w:left="283"/>
      </w:pPr>
      <w:r>
        <w:rPr>
          <w:sz w:val="20"/>
        </w:rPr>
        <w:t>Itens: tabela comparativa Qtd Pedido vs Qtd Nota vs Preço Fed. vs Preço Nota</w:t>
      </w:r>
    </w:p>
    <w:p>
      <w:pPr>
        <w:pStyle w:val="ListBullet"/>
        <w:spacing w:after="60"/>
        <w:ind w:left="283"/>
      </w:pPr>
      <w:r>
        <w:rPr>
          <w:sz w:val="20"/>
        </w:rPr>
        <w:t>Score de Match e Status atual em destaque</w:t>
      </w:r>
    </w:p>
    <w:p>
      <w:pPr>
        <w:pStyle w:val="ListBullet"/>
        <w:spacing w:after="60"/>
        <w:ind w:left="283"/>
      </w:pPr>
      <w:r>
        <w:rPr>
          <w:sz w:val="20"/>
        </w:rPr>
        <w:t>Botões de ação: Aprovar | Com Ressalva | Aprov. Parcial | Rejeitar</w:t>
      </w:r>
    </w:p>
    <w:p/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Tela 4 — Fila de Exceções</w:t>
      </w:r>
    </w:p>
    <w:p>
      <w:pPr>
        <w:spacing w:after="80"/>
      </w:pPr>
      <w:r>
        <w:rPr>
          <w:i/>
          <w:color w:val="222222"/>
          <w:sz w:val="20"/>
        </w:rPr>
        <w:t>Fila exclusiva de divergências com filtros por tipo e severidade. Painel de resolução em massa no topo permite aprovar dezenas de notas com um clique baseado em regras de valor.</w:t>
      </w:r>
    </w:p>
    <w:p>
      <w:pPr>
        <w:pStyle w:val="ListBullet"/>
        <w:spacing w:after="60"/>
        <w:ind w:left="283"/>
      </w:pPr>
      <w:r>
        <w:rPr>
          <w:sz w:val="20"/>
        </w:rPr>
        <w:t>Filtros: Tipo | Severidade | Fornecedor | Valor</w:t>
      </w:r>
    </w:p>
    <w:p>
      <w:pPr>
        <w:pStyle w:val="ListBullet"/>
        <w:spacing w:after="60"/>
        <w:ind w:left="283"/>
      </w:pPr>
      <w:r>
        <w:rPr>
          <w:sz w:val="20"/>
        </w:rPr>
        <w:t>Resolução em Massa: aprovar todas divergências de PREÇO abaixo de R$ X</w:t>
      </w:r>
    </w:p>
    <w:p>
      <w:pPr>
        <w:pStyle w:val="ListBullet"/>
        <w:spacing w:after="60"/>
        <w:ind w:left="283"/>
      </w:pPr>
      <w:r>
        <w:rPr>
          <w:sz w:val="20"/>
        </w:rPr>
        <w:t>Colunas: Sev. | NF | Fornecedor | Tipo Diverg. | Vl. Esperado | Vl. Real | Diferença | Ações</w:t>
      </w:r>
    </w:p>
    <w:p>
      <w:pPr>
        <w:pStyle w:val="ListBullet"/>
        <w:spacing w:after="60"/>
        <w:ind w:left="283"/>
      </w:pPr>
      <w:r>
        <w:rPr>
          <w:sz w:val="20"/>
        </w:rPr>
        <w:t>Ações por linha: Remover Filtro | Vincular PC | Auto-aprovar | Rejeitar</w:t>
      </w:r>
    </w:p>
    <w:p>
      <w:pPr>
        <w:pStyle w:val="ListBullet"/>
        <w:spacing w:after="60"/>
        <w:ind w:left="283"/>
      </w:pPr>
      <w:r>
        <w:rPr>
          <w:sz w:val="20"/>
        </w:rPr>
        <w:t>Rodapé: totais consolidados de divergências</w:t>
      </w:r>
    </w:p>
    <w:p/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Tela 5 — Monitoramento de Lotes</w:t>
      </w:r>
    </w:p>
    <w:p>
      <w:pPr>
        <w:spacing w:after="80"/>
      </w:pPr>
      <w:r>
        <w:rPr>
          <w:i/>
          <w:color w:val="222222"/>
          <w:sz w:val="20"/>
        </w:rPr>
        <w:t>Rastreamento em tempo real de todos os lotes processados: origem, volume, distribuição por status, barra de progresso e log de eventos correlacionados por ID de lote.</w:t>
      </w:r>
    </w:p>
    <w:p>
      <w:pPr>
        <w:pStyle w:val="ListBullet"/>
        <w:spacing w:after="60"/>
        <w:ind w:left="283"/>
      </w:pPr>
      <w:r>
        <w:rPr>
          <w:sz w:val="20"/>
        </w:rPr>
        <w:t>Cards: Processados Hoje (1.250) | Em Processamento (2) | Taxa de Sucesso (94%) | Tempo Médio (1m42s)</w:t>
      </w:r>
    </w:p>
    <w:p>
      <w:pPr>
        <w:pStyle w:val="ListBullet"/>
        <w:spacing w:after="60"/>
        <w:ind w:left="283"/>
      </w:pPr>
      <w:r>
        <w:rPr>
          <w:sz w:val="20"/>
        </w:rPr>
        <w:t>Tabela de lotes: ID Lote | Origem | Início | Total | Aprov. | Diverg. | Rejeit. | Status | Ações</w:t>
      </w:r>
    </w:p>
    <w:p>
      <w:pPr>
        <w:pStyle w:val="ListBullet"/>
        <w:spacing w:after="60"/>
        <w:ind w:left="283"/>
      </w:pPr>
      <w:r>
        <w:rPr>
          <w:sz w:val="20"/>
        </w:rPr>
        <w:t>Status visual: Formulando / Em Processamento / Concluído</w:t>
      </w:r>
    </w:p>
    <w:p>
      <w:pPr>
        <w:pStyle w:val="ListBullet"/>
        <w:spacing w:after="60"/>
        <w:ind w:left="283"/>
      </w:pPr>
      <w:r>
        <w:rPr>
          <w:sz w:val="20"/>
        </w:rPr>
        <w:t>Ações: Ver Notas | Relatório</w:t>
      </w:r>
    </w:p>
    <w:p>
      <w:pPr>
        <w:pStyle w:val="ListBullet"/>
        <w:spacing w:after="60"/>
        <w:ind w:left="283"/>
      </w:pPr>
      <w:r>
        <w:rPr>
          <w:sz w:val="20"/>
        </w:rPr>
        <w:t>Log de Eventos em Tempo Real com correlação por batch_id</w:t>
      </w:r>
    </w:p>
    <w:p/>
    <w:p>
      <w:pPr>
        <w:shd w:val="clear" w:color="auto" w:fill="E8F0FB"/>
        <w:spacing w:before="240" w:after="80"/>
        <w:ind w:left="113"/>
      </w:pPr>
      <w:r>
        <w:rPr>
          <w:b/>
          <w:color w:val="1A3A5C"/>
          <w:sz w:val="26"/>
        </w:rPr>
        <w:t xml:space="preserve"> Tela 6 — SUIVIA Camera (Captura Mobile)</w:t>
      </w:r>
    </w:p>
    <w:p>
      <w:pPr>
        <w:spacing w:after="80"/>
      </w:pPr>
      <w:r>
        <w:rPr>
          <w:i/>
          <w:color w:val="222222"/>
          <w:sz w:val="20"/>
        </w:rPr>
        <w:t>App PWA mobile para captura de notas físicas por câmera. Guia de enquadramento com cantos verdes, detecção automática de borda, correção de perspectiva e fluxo completo de 5 etapas até o Inbox.</w:t>
      </w:r>
    </w:p>
    <w:p>
      <w:pPr>
        <w:pStyle w:val="ListBullet"/>
        <w:spacing w:after="60"/>
        <w:ind w:left="283"/>
      </w:pPr>
      <w:r>
        <w:rPr>
          <w:sz w:val="20"/>
        </w:rPr>
        <w:t>Etapa 1 — CAPTURA: foto tirada pelo celular (JPG, PNG, PDF)</w:t>
      </w:r>
    </w:p>
    <w:p>
      <w:pPr>
        <w:pStyle w:val="ListBullet"/>
        <w:spacing w:after="60"/>
        <w:ind w:left="283"/>
      </w:pPr>
      <w:r>
        <w:rPr>
          <w:sz w:val="20"/>
        </w:rPr>
        <w:t>Etapa 2 — PRÉ-PROCESSAMENTO: Corte automático, fornece, limpeza de ruídos</w:t>
      </w:r>
    </w:p>
    <w:p>
      <w:pPr>
        <w:pStyle w:val="ListBullet"/>
        <w:spacing w:after="60"/>
        <w:ind w:left="283"/>
      </w:pPr>
      <w:r>
        <w:rPr>
          <w:sz w:val="20"/>
        </w:rPr>
        <w:t>Etapa 3 — OCR INTELIGENTE: AWS Textract AnalyzeExpense extrai CNP, total, ítens, Bounding Boxes</w:t>
      </w:r>
    </w:p>
    <w:p>
      <w:pPr>
        <w:pStyle w:val="ListBullet"/>
        <w:spacing w:after="60"/>
        <w:ind w:left="283"/>
      </w:pPr>
      <w:r>
        <w:rPr>
          <w:sz w:val="20"/>
        </w:rPr>
        <w:t>Etapa 4 — VALIDAÇÃO SEFAZ: Consulta de status, verifica autenticidade</w:t>
      </w:r>
    </w:p>
    <w:p>
      <w:pPr>
        <w:pStyle w:val="ListBullet"/>
        <w:spacing w:after="60"/>
        <w:ind w:left="283"/>
      </w:pPr>
      <w:r>
        <w:rPr>
          <w:sz w:val="20"/>
        </w:rPr>
        <w:t>Etapa 5 — MATCH AUTOMÁTICO: Motor de conciliação, entrada no Inbox</w:t>
      </w:r>
    </w:p>
    <w:p>
      <w:pPr>
        <w:pStyle w:val="ListBullet"/>
        <w:spacing w:after="60"/>
        <w:ind w:left="283"/>
      </w:pPr>
      <w:r>
        <w:rPr>
          <w:sz w:val="20"/>
        </w:rPr>
        <w:t>Funciona offline (sincroniza quando conectar)</w:t>
      </w:r>
    </w:p>
    <w:p>
      <w:pPr>
        <w:pStyle w:val="ListBullet"/>
        <w:spacing w:after="60"/>
        <w:ind w:left="283"/>
      </w:pPr>
      <w:r>
        <w:rPr>
          <w:sz w:val="20"/>
        </w:rPr>
        <w:t>App PWA: instala no browser, não precisa de App Store</w:t>
      </w:r>
    </w:p>
    <w:p/>
    <w:p>
      <w:r>
        <w:br w:type="page"/>
      </w:r>
    </w:p>
    <w:p>
      <w:pPr>
        <w:shd w:val="clear" w:color="auto" w:fill="1A3A5C"/>
        <w:spacing w:before="320" w:after="120"/>
        <w:ind w:left="170"/>
      </w:pPr>
      <w:r>
        <w:rPr>
          <w:b/>
          <w:color w:val="FFFFFF"/>
          <w:sz w:val="32"/>
        </w:rPr>
        <w:t xml:space="preserve">  9. ROADMAP DE IMPLEMENTAÇÃO  </w:t>
      </w:r>
    </w:p>
    <w:p>
      <w:pPr>
        <w:shd w:val="clear" w:color="auto" w:fill="D4EDDA"/>
        <w:spacing w:before="200" w:after="80"/>
      </w:pPr>
      <w:r>
        <w:rPr>
          <w:b/>
          <w:color w:val="1A3A5C"/>
          <w:sz w:val="24"/>
        </w:rPr>
        <w:t xml:space="preserve"> Fase 1 — MVP (Meses 1–3) </w:t>
      </w:r>
    </w:p>
    <w:p>
      <w:pPr>
        <w:pStyle w:val="ListBullet"/>
        <w:spacing w:after="60"/>
        <w:ind w:left="283"/>
      </w:pPr>
      <w:r>
        <w:rPr>
          <w:sz w:val="20"/>
        </w:rPr>
        <w:t>Upload de XML + Parser Nativo NFe/CTe</w:t>
      </w:r>
    </w:p>
    <w:p>
      <w:pPr>
        <w:pStyle w:val="ListBullet"/>
        <w:spacing w:after="60"/>
        <w:ind w:left="283"/>
      </w:pPr>
      <w:r>
        <w:rPr>
          <w:sz w:val="20"/>
        </w:rPr>
        <w:t>Consulta SEFAZ (validação de chave de acesso)</w:t>
      </w:r>
    </w:p>
    <w:p>
      <w:pPr>
        <w:pStyle w:val="ListBullet"/>
        <w:spacing w:after="60"/>
        <w:ind w:left="283"/>
      </w:pPr>
      <w:r>
        <w:rPr>
          <w:sz w:val="20"/>
        </w:rPr>
        <w:t>Motor de Match básico (CNPJ + Valor)</w:t>
      </w:r>
    </w:p>
    <w:p>
      <w:pPr>
        <w:pStyle w:val="ListBullet"/>
        <w:spacing w:after="60"/>
        <w:ind w:left="283"/>
      </w:pPr>
      <w:r>
        <w:rPr>
          <w:sz w:val="20"/>
        </w:rPr>
        <w:t>Telas: Inbox + Detalhe (Split-Screen)</w:t>
      </w:r>
    </w:p>
    <w:p>
      <w:pPr>
        <w:pStyle w:val="ListBullet"/>
        <w:spacing w:after="60"/>
        <w:ind w:left="283"/>
      </w:pPr>
      <w:r>
        <w:rPr>
          <w:sz w:val="20"/>
        </w:rPr>
        <w:t>Aprovação e Rejeição manual</w:t>
      </w:r>
    </w:p>
    <w:p>
      <w:pPr>
        <w:pStyle w:val="ListBullet"/>
        <w:spacing w:after="60"/>
        <w:ind w:left="283"/>
      </w:pPr>
      <w:r>
        <w:rPr>
          <w:sz w:val="20"/>
        </w:rPr>
        <w:t>Log de auditoria básico</w:t>
      </w:r>
    </w:p>
    <w:p/>
    <w:p>
      <w:pPr>
        <w:shd w:val="clear" w:color="auto" w:fill="FFF3CD"/>
        <w:spacing w:before="200" w:after="80"/>
      </w:pPr>
      <w:r>
        <w:rPr>
          <w:b/>
          <w:color w:val="1A3A5C"/>
          <w:sz w:val="24"/>
        </w:rPr>
        <w:t xml:space="preserve"> Fase 2 — Completo (Meses 4–6) </w:t>
      </w:r>
    </w:p>
    <w:p>
      <w:pPr>
        <w:pStyle w:val="ListBullet"/>
        <w:spacing w:after="60"/>
        <w:ind w:left="283"/>
      </w:pPr>
      <w:r>
        <w:rPr>
          <w:sz w:val="20"/>
        </w:rPr>
        <w:t>AWS Textract para PDF/Imagem</w:t>
      </w:r>
    </w:p>
    <w:p>
      <w:pPr>
        <w:pStyle w:val="ListBullet"/>
        <w:spacing w:after="60"/>
        <w:ind w:left="283"/>
      </w:pPr>
      <w:r>
        <w:rPr>
          <w:sz w:val="20"/>
        </w:rPr>
        <w:t>Processamento em lote (Batch)</w:t>
      </w:r>
    </w:p>
    <w:p>
      <w:pPr>
        <w:pStyle w:val="ListBullet"/>
        <w:spacing w:after="60"/>
        <w:ind w:left="283"/>
      </w:pPr>
      <w:r>
        <w:rPr>
          <w:sz w:val="20"/>
        </w:rPr>
        <w:t>Fila de Exceções + Resolução em massa</w:t>
      </w:r>
    </w:p>
    <w:p>
      <w:pPr>
        <w:pStyle w:val="ListBullet"/>
        <w:spacing w:after="60"/>
        <w:ind w:left="283"/>
      </w:pPr>
      <w:r>
        <w:rPr>
          <w:sz w:val="20"/>
        </w:rPr>
        <w:t>Dashboard em tempo real (WebSocket)</w:t>
      </w:r>
    </w:p>
    <w:p>
      <w:pPr>
        <w:pStyle w:val="ListBullet"/>
        <w:spacing w:after="60"/>
        <w:ind w:left="283"/>
      </w:pPr>
      <w:r>
        <w:rPr>
          <w:sz w:val="20"/>
        </w:rPr>
        <w:t>Regras de tolerância configuráveis</w:t>
      </w:r>
    </w:p>
    <w:p>
      <w:pPr>
        <w:pStyle w:val="ListBullet"/>
        <w:spacing w:after="60"/>
        <w:ind w:left="283"/>
      </w:pPr>
      <w:r>
        <w:rPr>
          <w:sz w:val="20"/>
        </w:rPr>
        <w:t>Integração ERP via API</w:t>
      </w:r>
    </w:p>
    <w:p/>
    <w:p>
      <w:pPr>
        <w:shd w:val="clear" w:color="auto" w:fill="E3F2FD"/>
        <w:spacing w:before="200" w:after="80"/>
      </w:pPr>
      <w:r>
        <w:rPr>
          <w:b/>
          <w:color w:val="1A3A5C"/>
          <w:sz w:val="24"/>
        </w:rPr>
        <w:t xml:space="preserve"> Fase 3 — Inteligente (Meses 7–9) </w:t>
      </w:r>
    </w:p>
    <w:p>
      <w:pPr>
        <w:pStyle w:val="ListBullet"/>
        <w:spacing w:after="60"/>
        <w:ind w:left="283"/>
      </w:pPr>
      <w:r>
        <w:rPr>
          <w:sz w:val="20"/>
        </w:rPr>
        <w:t>SUIVIA Camera (PWA Mobile)</w:t>
      </w:r>
    </w:p>
    <w:p>
      <w:pPr>
        <w:pStyle w:val="ListBullet"/>
        <w:spacing w:after="60"/>
        <w:ind w:left="283"/>
      </w:pPr>
      <w:r>
        <w:rPr>
          <w:sz w:val="20"/>
        </w:rPr>
        <w:t>Sugestão automática de Pedido (IA)</w:t>
      </w:r>
    </w:p>
    <w:p>
      <w:pPr>
        <w:pStyle w:val="ListBullet"/>
        <w:spacing w:after="60"/>
        <w:ind w:left="283"/>
      </w:pPr>
      <w:r>
        <w:rPr>
          <w:sz w:val="20"/>
        </w:rPr>
        <w:t>Fuzzy Match para itens</w:t>
      </w:r>
    </w:p>
    <w:p>
      <w:pPr>
        <w:pStyle w:val="ListBullet"/>
        <w:spacing w:after="60"/>
        <w:ind w:left="283"/>
      </w:pPr>
      <w:r>
        <w:rPr>
          <w:sz w:val="20"/>
        </w:rPr>
        <w:t>Aprendizado por histórico</w:t>
      </w:r>
    </w:p>
    <w:p>
      <w:pPr>
        <w:pStyle w:val="ListBullet"/>
        <w:spacing w:after="60"/>
        <w:ind w:left="283"/>
      </w:pPr>
      <w:r>
        <w:rPr>
          <w:sz w:val="20"/>
        </w:rPr>
        <w:t>Relatórios e analytics avançados</w:t>
      </w:r>
    </w:p>
    <w:p>
      <w:pPr>
        <w:pStyle w:val="ListBullet"/>
        <w:spacing w:after="60"/>
        <w:ind w:left="283"/>
      </w:pPr>
      <w:r>
        <w:rPr>
          <w:sz w:val="20"/>
        </w:rPr>
        <w:t>Multi-tenant + Feature Flags</w:t>
      </w:r>
    </w:p>
    <w:p/>
    <w:p>
      <w:pPr>
        <w:shd w:val="clear" w:color="auto" w:fill="F3E5F5"/>
        <w:spacing w:before="200" w:after="80"/>
      </w:pPr>
      <w:r>
        <w:rPr>
          <w:b/>
          <w:color w:val="1A3A5C"/>
          <w:sz w:val="24"/>
        </w:rPr>
        <w:t xml:space="preserve"> Fase 4 — SaaS (Meses 10–12) </w:t>
      </w:r>
    </w:p>
    <w:p>
      <w:pPr>
        <w:pStyle w:val="ListBullet"/>
        <w:spacing w:after="60"/>
        <w:ind w:left="283"/>
      </w:pPr>
      <w:r>
        <w:rPr>
          <w:sz w:val="20"/>
        </w:rPr>
        <w:t>Marketplace de conectores ERP</w:t>
      </w:r>
    </w:p>
    <w:p>
      <w:pPr>
        <w:pStyle w:val="ListBullet"/>
        <w:spacing w:after="60"/>
        <w:ind w:left="283"/>
      </w:pPr>
      <w:r>
        <w:rPr>
          <w:sz w:val="20"/>
        </w:rPr>
        <w:t>API pública para parceiros</w:t>
      </w:r>
    </w:p>
    <w:p>
      <w:pPr>
        <w:pStyle w:val="ListBullet"/>
        <w:spacing w:after="60"/>
        <w:ind w:left="283"/>
      </w:pPr>
      <w:r>
        <w:rPr>
          <w:sz w:val="20"/>
        </w:rPr>
        <w:t>Módulo de analytics preditivo</w:t>
      </w:r>
    </w:p>
    <w:p>
      <w:pPr>
        <w:pStyle w:val="ListBullet"/>
        <w:spacing w:after="60"/>
        <w:ind w:left="283"/>
      </w:pPr>
      <w:r>
        <w:rPr>
          <w:sz w:val="20"/>
        </w:rPr>
        <w:t>Benchmarking entre clientes</w:t>
      </w:r>
    </w:p>
    <w:p>
      <w:pPr>
        <w:pStyle w:val="ListBullet"/>
        <w:spacing w:after="60"/>
        <w:ind w:left="283"/>
      </w:pPr>
      <w:r>
        <w:rPr>
          <w:sz w:val="20"/>
        </w:rPr>
        <w:t>Certificação SOC2 / LGPD</w:t>
      </w:r>
    </w:p>
    <w:p>
      <w:pPr>
        <w:pStyle w:val="ListBullet"/>
        <w:spacing w:after="60"/>
        <w:ind w:left="283"/>
      </w:pPr>
      <w:r>
        <w:rPr>
          <w:sz w:val="20"/>
        </w:rPr>
        <w:t>Lançamento comercial SaaS</w:t>
      </w:r>
    </w:p>
    <w:p/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SUIVIA v2.0 — Documento Confidencial  |  Ferroport  |  Gerado em 07/06/2026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