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172A"/>
          <w:sz w:val="48"/>
        </w:rPr>
        <w:t>NexFin — Platform Technical &amp; Feature Documentation</w:t>
      </w:r>
    </w:p>
    <w:p>
      <w:pPr>
        <w:spacing w:after="360"/>
      </w:pPr>
      <w:r>
        <w:rPr>
          <w:rFonts w:ascii="Arial" w:hAnsi="Arial"/>
          <w:b/>
          <w:color w:val="059669"/>
          <w:sz w:val="26"/>
        </w:rPr>
        <w:t>Next-Generation AI Financial Digital Twin, Liquidity Telemetry &amp; MSME Solvency Platform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Platform Name: </w:t>
            </w:r>
            <w:r>
              <w:rPr>
                <w:color w:val="64748B"/>
                <w:sz w:val="19"/>
              </w:rPr>
              <w:t>NexFin (formerly FinTwin)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Release Version: </w:t>
            </w:r>
            <w:r>
              <w:rPr>
                <w:color w:val="64748B"/>
                <w:sz w:val="19"/>
              </w:rPr>
              <w:t>v2.5 Enterprise Production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Target Audience: </w:t>
            </w:r>
            <w:r>
              <w:rPr>
                <w:color w:val="64748B"/>
                <w:sz w:val="19"/>
              </w:rPr>
              <w:t>MSMEs, CFOs, Founders, Accountants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Documentation Date: </w:t>
            </w:r>
            <w:r>
              <w:rPr>
                <w:color w:val="64748B"/>
                <w:sz w:val="19"/>
              </w:rPr>
              <w:t>September 2026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1. Executive Summary &amp; Value Proposition</w:t>
      </w:r>
    </w:p>
    <w:p>
      <w:pPr>
        <w:spacing w:after="160"/>
      </w:pPr>
      <w:r>
        <w:t>NexFin is an autonomous AI-powered Financial Digital Twin built specifically for Indian Micro, Small, and Medium Enterprises (MSMEs) and fast-growing enterprises. It acts as a 24/7 predictive co-pilot that ingests multi-source financial telemetry (consented GST e-invoices, bank feeds, expense ledgers, and payroll streams) to simulate cash runway, forecast debtor payment delays with trained machine learning models, enforce MSMED Act statutory 45-day recovery timelines, and optimize tax liabilities.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2. Full Technology Stack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Tier / Component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Technology / Libraries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Architectural Purpose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1E293B"/>
                <w:sz w:val="18"/>
              </w:rPr>
              <w:t>Frontend Framework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1E293B"/>
                <w:sz w:val="18"/>
              </w:rPr>
              <w:t>React 18 / 19, Vite 8.2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1E293B"/>
                <w:sz w:val="18"/>
              </w:rPr>
              <w:t>Ultra-fast Single Page Application with Hot Module Replacement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1E293B"/>
                <w:sz w:val="18"/>
              </w:rPr>
              <w:t>Styling &amp; Design System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1E293B"/>
                <w:sz w:val="18"/>
              </w:rPr>
              <w:t>Vanilla CSS3, CSS Custom Properties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1E293B"/>
                <w:sz w:val="18"/>
              </w:rPr>
              <w:t>Tailored executive fintech theme, glassmorphism, responsive grid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1E293B"/>
                <w:sz w:val="18"/>
              </w:rPr>
              <w:t>Data Visualization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1E293B"/>
                <w:sz w:val="18"/>
              </w:rPr>
              <w:t>Recharts (v2.x)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1E293B"/>
                <w:sz w:val="18"/>
              </w:rPr>
              <w:t>Interactive AreaCharts, BarCharts, Donut gauges &amp; predictive bounds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1E293B"/>
                <w:sz w:val="18"/>
              </w:rPr>
              <w:t>Icons &amp; UI Graphics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1E293B"/>
                <w:sz w:val="18"/>
              </w:rPr>
              <w:t>Lucide React, Custom SVG Vector Suite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1E293B"/>
                <w:sz w:val="18"/>
              </w:rPr>
              <w:t>Unified modern iconography and dynamic responsive logo mark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1E293B"/>
                <w:sz w:val="18"/>
              </w:rPr>
              <w:t>Routing &amp; Navigation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1E293B"/>
                <w:sz w:val="18"/>
              </w:rPr>
              <w:t>React Router DOM v6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1E293B"/>
                <w:sz w:val="18"/>
              </w:rPr>
              <w:t>Client-side declarative routing, deep-linking &amp; role-based redirects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1E293B"/>
                <w:sz w:val="18"/>
              </w:rPr>
              <w:t>Multilingual Localization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1E293B"/>
                <w:sz w:val="18"/>
              </w:rPr>
              <w:t>React Context API (18 Indian Languages)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1E293B"/>
                <w:sz w:val="18"/>
              </w:rPr>
              <w:t>Dynamic on-the-fly translation (Hindi, Marathi, Gujarati, Tamil, etc.)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1E293B"/>
                <w:sz w:val="18"/>
              </w:rPr>
              <w:t>File &amp; Data Ingestion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1E293B"/>
                <w:sz w:val="18"/>
              </w:rPr>
              <w:t>PapaParse (CSV), XLSX / SheetJS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1E293B"/>
                <w:sz w:val="18"/>
              </w:rPr>
              <w:t>Client-side multi-format parsing for CSV, Excel, PDF scans, and JSON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1E293B"/>
                <w:sz w:val="18"/>
              </w:rPr>
              <w:t>Backend Framework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1E293B"/>
                <w:sz w:val="18"/>
              </w:rPr>
              <w:t>Python 3.10+, FastAPI, Uvicorn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1E293B"/>
                <w:sz w:val="18"/>
              </w:rPr>
              <w:t>High-throughput asynchronous REST API &amp; ML microservices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1E293B"/>
                <w:sz w:val="18"/>
              </w:rPr>
              <w:t>Data Modeling &amp; Schemas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1E293B"/>
                <w:sz w:val="18"/>
              </w:rPr>
              <w:t>Pydantic v2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1E293B"/>
                <w:sz w:val="18"/>
              </w:rPr>
              <w:t>Strict request/response validation and data serialization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1E293B"/>
                <w:sz w:val="18"/>
              </w:rPr>
              <w:t>Machine Learning Engine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1E293B"/>
                <w:sz w:val="18"/>
              </w:rPr>
              <w:t>Scikit-Learn, LightGBM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r>
              <w:rPr>
                <w:color w:val="1E293B"/>
                <w:sz w:val="18"/>
              </w:rPr>
              <w:t>Dual-engine trained on 88,305 B2B invoices for delay &amp; risk prediction</w:t>
            </w:r>
          </w:p>
        </w:tc>
      </w:tr>
      <w:tr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1E293B"/>
                <w:sz w:val="18"/>
              </w:rPr>
              <w:t>Deployment &amp; Hosting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1E293B"/>
                <w:sz w:val="18"/>
              </w:rPr>
              <w:t>Vercel (Frontend), Render / AWS (Backend)</w:t>
            </w:r>
          </w:p>
        </w:tc>
        <w:tc>
          <w:tcPr>
            <w:tcW w:type="dxa" w:w="312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color w:val="1E293B"/>
                <w:sz w:val="18"/>
              </w:rPr>
              <w:t>Global Edge CDN deployment with automated GitHub CI/CD webhooks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3. Comprehensive Module Feature Breakdown</w:t>
      </w:r>
    </w:p>
    <w:p>
      <w:pPr>
        <w:keepNext/>
        <w:spacing w:before="320" w:after="120"/>
      </w:pPr>
      <w:r>
        <w:rPr>
          <w:rFonts w:ascii="Arial" w:hAnsi="Arial"/>
          <w:b/>
          <w:color w:val="059669"/>
          <w:sz w:val="26"/>
        </w:rPr>
        <w:t>3.1 Executive Dashboard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Real-Time Solvency Telemetry: </w:t>
      </w:r>
      <w:r>
        <w:rPr>
          <w:color w:val="334155"/>
          <w:sz w:val="20"/>
        </w:rPr>
        <w:t>Instant visibility into Opening Liquid Cash, Total Receivables, Monthly Burn Rate, and Net Runway Buffer.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GST &amp; Financial Health Monitor: </w:t>
      </w:r>
      <w:r>
        <w:rPr>
          <w:color w:val="334155"/>
          <w:sz w:val="20"/>
        </w:rPr>
        <w:t>Real-time computed composite health index (0–100 score) evaluating Runway Solvency, Receivables Aging, Concentration Risk, and GST Reserves with animated SVG radial gauge.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Autonomous Runway Gauge: </w:t>
      </w:r>
      <w:r>
        <w:rPr>
          <w:color w:val="334155"/>
          <w:sz w:val="20"/>
        </w:rPr>
        <w:t>Color-coded dynamic progress tracker calculating operational runway in days (Healthy/Moderate/Critical Burn).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AI Cash Velocity &amp; Confidence Radar: </w:t>
      </w:r>
      <w:r>
        <w:rPr>
          <w:color w:val="334155"/>
          <w:sz w:val="20"/>
        </w:rPr>
        <w:t>Forecast projections across 30, 60, and 90-day time horizons with historical reference lines.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Receivables Aging Matrix: </w:t>
      </w:r>
      <w:r>
        <w:rPr>
          <w:color w:val="334155"/>
          <w:sz w:val="20"/>
        </w:rPr>
        <w:t>Categorized breakdown into 0–30 Days, 31–60 Days, 61–90 Days, and 90+ Days buckets with risk indicators.</w:t>
      </w:r>
    </w:p>
    <w:p>
      <w:pPr>
        <w:keepNext/>
        <w:spacing w:before="320" w:after="120"/>
      </w:pPr>
      <w:r>
        <w:rPr>
          <w:rFonts w:ascii="Arial" w:hAnsi="Arial"/>
          <w:b/>
          <w:color w:val="059669"/>
          <w:sz w:val="26"/>
        </w:rPr>
        <w:t>3.2 Cash Flow Digital Twin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90-Day Predictive Timeline: </w:t>
      </w:r>
      <w:r>
        <w:rPr>
          <w:color w:val="334155"/>
          <w:sz w:val="20"/>
        </w:rPr>
        <w:t>Granular day-by-day cash balance projection integrating scheduled receivables and recurring liabilities.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Monte Carlo Scenario Bands: </w:t>
      </w:r>
      <w:r>
        <w:rPr>
          <w:color w:val="334155"/>
          <w:sz w:val="20"/>
        </w:rPr>
        <w:t>Visual confidence bounds comparing Conservative (stress), Base Case, and Optimistic liquidity trajectories.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Daily Burn Rate Telemetry: </w:t>
      </w:r>
      <w:r>
        <w:rPr>
          <w:color w:val="334155"/>
          <w:sz w:val="20"/>
        </w:rPr>
        <w:t>Real-time burn velocity tracking (₹/day) against defined minimum safety reserves.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Insolvency Cliff Detection: </w:t>
      </w:r>
      <w:r>
        <w:rPr>
          <w:color w:val="334155"/>
          <w:sz w:val="20"/>
        </w:rPr>
        <w:t>Proactive AI warnings identifying exact calendar dates where cash breaches safety thresholds.</w:t>
      </w:r>
    </w:p>
    <w:p>
      <w:pPr>
        <w:keepNext/>
        <w:spacing w:before="320" w:after="120"/>
      </w:pPr>
      <w:r>
        <w:rPr>
          <w:rFonts w:ascii="Arial" w:hAnsi="Arial"/>
          <w:b/>
          <w:color w:val="059669"/>
          <w:sz w:val="26"/>
        </w:rPr>
        <w:t>3.3 Invoices &amp; Machine Learning Delay Radar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Multi-Format Ingestion: </w:t>
      </w:r>
      <w:r>
        <w:rPr>
          <w:color w:val="334155"/>
          <w:sz w:val="20"/>
        </w:rPr>
        <w:t>Drag-and-drop support for CSV, Excel (.xlsx/.xls), PDF (AI OCR scan), JSON (GST e-Invoice), and plain text.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ML Delay Prediction: </w:t>
      </w:r>
      <w:r>
        <w:rPr>
          <w:color w:val="334155"/>
          <w:sz w:val="20"/>
        </w:rPr>
        <w:t>Trained model predicting exact payment delays (in days) per customer based on payment history and tenure.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Debtor Risk Scoring: </w:t>
      </w:r>
      <w:r>
        <w:rPr>
          <w:color w:val="334155"/>
          <w:sz w:val="20"/>
        </w:rPr>
        <w:t>Automated classification of invoices into LOW, MEDIUM, and HIGH default risk tiers.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MSMED Act Section 15 Compliance: </w:t>
      </w:r>
      <w:r>
        <w:rPr>
          <w:color w:val="334155"/>
          <w:sz w:val="20"/>
        </w:rPr>
        <w:t>Automated 45-day statutory clock tracking with automated Samadhaan recovery alert drafts.</w:t>
      </w:r>
    </w:p>
    <w:p>
      <w:pPr>
        <w:keepNext/>
        <w:spacing w:before="320" w:after="120"/>
      </w:pPr>
      <w:r>
        <w:rPr>
          <w:rFonts w:ascii="Arial" w:hAnsi="Arial"/>
          <w:b/>
          <w:color w:val="059669"/>
          <w:sz w:val="26"/>
        </w:rPr>
        <w:t>3.4 What-If Shock Simulator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Interactive Stress Testing: </w:t>
      </w:r>
      <w:r>
        <w:rPr>
          <w:color w:val="334155"/>
          <w:sz w:val="20"/>
        </w:rPr>
        <w:t>Adjustable sliders for Revenue Change (-50% to +50%), Expense Inflation, Payment Delays (0 to 60 days), Collection Efficiency, and GST Slabs.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Synthetic Twin vs. Baseline: </w:t>
      </w:r>
      <w:r>
        <w:rPr>
          <w:color w:val="334155"/>
          <w:sz w:val="20"/>
        </w:rPr>
        <w:t>Side-by-side comparative Area charts illustrating baseline trajectory vs. simulated scenario.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Pre-Calibrated MSME Presets: </w:t>
      </w:r>
      <w:r>
        <w:rPr>
          <w:color w:val="334155"/>
          <w:sz w:val="20"/>
        </w:rPr>
        <w:t>1-click simulations for 'Optimistic Growth', 'Severe Macro Shock', 'Payment Stagnation', and 'Base Case'.</w:t>
      </w:r>
    </w:p>
    <w:p>
      <w:pPr>
        <w:keepNext/>
        <w:spacing w:before="320" w:after="120"/>
      </w:pPr>
      <w:r>
        <w:rPr>
          <w:rFonts w:ascii="Arial" w:hAnsi="Arial"/>
          <w:b/>
          <w:color w:val="059669"/>
          <w:sz w:val="26"/>
        </w:rPr>
        <w:t>3.5 Risk Intelligence &amp; Debtor Concentration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Solvency Pressure Index: </w:t>
      </w:r>
      <w:r>
        <w:rPr>
          <w:color w:val="334155"/>
          <w:sz w:val="20"/>
        </w:rPr>
        <w:t>Composite risk evaluation highlighting critical vulnerabilities before cash constraints occur.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Single-Buyer Concentration Radar: </w:t>
      </w:r>
      <w:r>
        <w:rPr>
          <w:color w:val="334155"/>
          <w:sz w:val="20"/>
        </w:rPr>
        <w:t>Analysis of debtor concentration percentage to prevent existential dependency on key clients.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Actionable Mitigation Playbooks: </w:t>
      </w:r>
      <w:r>
        <w:rPr>
          <w:color w:val="334155"/>
          <w:sz w:val="20"/>
        </w:rPr>
        <w:t>Prescriptive steps (e.g. TReDS factoring, vendor renegotiation, deposit reallocation) with quantified cash impacts.</w:t>
      </w:r>
    </w:p>
    <w:p>
      <w:pPr>
        <w:keepNext/>
        <w:spacing w:before="320" w:after="120"/>
      </w:pPr>
      <w:r>
        <w:rPr>
          <w:rFonts w:ascii="Arial" w:hAnsi="Arial"/>
          <w:b/>
          <w:color w:val="059669"/>
          <w:sz w:val="26"/>
        </w:rPr>
        <w:t>3.6 Expenses &amp; Burn Optimization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Itemized Expense Ledger: </w:t>
      </w:r>
      <w:r>
        <w:rPr>
          <w:color w:val="334155"/>
          <w:sz w:val="20"/>
        </w:rPr>
        <w:t>Classification of operational expenditure into fixed recurring (payroll, rent, SaaS) and variable spend.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Category Distribution Donut: </w:t>
      </w:r>
      <w:r>
        <w:rPr>
          <w:color w:val="334155"/>
          <w:sz w:val="20"/>
        </w:rPr>
        <w:t>Visual breakdown across Payroll, Facilities, Utilities, Logistics, Raw Materials, and Maintenance.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AI Burn Rationalization: </w:t>
      </w:r>
      <w:r>
        <w:rPr>
          <w:color w:val="334155"/>
          <w:sz w:val="20"/>
        </w:rPr>
        <w:t>Targeted recommendations for vendor renegotiation, annual license conversion, and logistics consolidation.</w:t>
      </w:r>
    </w:p>
    <w:p>
      <w:pPr>
        <w:keepNext/>
        <w:spacing w:before="320" w:after="120"/>
      </w:pPr>
      <w:r>
        <w:rPr>
          <w:rFonts w:ascii="Arial" w:hAnsi="Arial"/>
          <w:b/>
          <w:color w:val="059669"/>
          <w:sz w:val="26"/>
        </w:rPr>
        <w:t>3.7 GST Intelligence &amp; Statutory Reconciliation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Live GSTR-3B Tax Computation: </w:t>
      </w:r>
      <w:r>
        <w:rPr>
          <w:color w:val="334155"/>
          <w:sz w:val="20"/>
        </w:rPr>
        <w:t>Automated calculation of Output GST on Sales (GSTR-1), Input Tax Credit (ITC) from Purchases (GSTR-2B), and Net Cash Payable.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Interactive Multi-Slab Calculator: </w:t>
      </w:r>
      <w:r>
        <w:rPr>
          <w:color w:val="334155"/>
          <w:sz w:val="20"/>
        </w:rPr>
        <w:t>Real-time calculation of CGST, SGST, IGST across 0%, 5%, 12%, 18%, and 28% slabs with inclusive/exclusive pricing toggles.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GSTIN Checksum Validator: </w:t>
      </w:r>
      <w:r>
        <w:rPr>
          <w:color w:val="334155"/>
          <w:sz w:val="20"/>
        </w:rPr>
        <w:t>Instant structural and state-code validation for 15-character Indian GSTINs.</w:t>
      </w:r>
    </w:p>
    <w:p>
      <w:pPr>
        <w:keepNext/>
        <w:spacing w:before="320" w:after="120"/>
      </w:pPr>
      <w:r>
        <w:rPr>
          <w:rFonts w:ascii="Arial" w:hAnsi="Arial"/>
          <w:b/>
          <w:color w:val="059669"/>
          <w:sz w:val="26"/>
        </w:rPr>
        <w:t>3.8 Financing &amp; TReDS Marketplace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Non-Debt Liquidity Router: </w:t>
      </w:r>
      <w:r>
        <w:rPr>
          <w:color w:val="334155"/>
          <w:sz w:val="20"/>
        </w:rPr>
        <w:t>Automated matching of verified invoices to TReDS (RXIL/M1xchange/Invoicemart) discounting at competitive APRs (7.8%–9.5%).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Working Capital &amp; Credit Lines: </w:t>
      </w:r>
      <w:r>
        <w:rPr>
          <w:color w:val="334155"/>
          <w:sz w:val="20"/>
        </w:rPr>
        <w:t>Instant pre-qualification for collateral-free MSME credit lines and merchant cash advances.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Explainable Cost Comparison: </w:t>
      </w:r>
      <w:r>
        <w:rPr>
          <w:color w:val="334155"/>
          <w:sz w:val="20"/>
        </w:rPr>
        <w:t>Clear breakdown of platform fees, interest rates, and total liquidity unlocked without hidden debt.</w:t>
      </w:r>
    </w:p>
    <w:p>
      <w:pPr>
        <w:keepNext/>
        <w:spacing w:before="320" w:after="120"/>
      </w:pPr>
      <w:r>
        <w:rPr>
          <w:rFonts w:ascii="Arial" w:hAnsi="Arial"/>
          <w:b/>
          <w:color w:val="059669"/>
          <w:sz w:val="26"/>
        </w:rPr>
        <w:t>3.9 Payroll &amp; Worker Disbursal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Staff &amp; Wage Management: </w:t>
      </w:r>
      <w:r>
        <w:rPr>
          <w:color w:val="334155"/>
          <w:sz w:val="20"/>
        </w:rPr>
        <w:t>Tracking factory workers, engineering staff, and contractors with attendance and role mappings.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Batch Salary Disbursal: </w:t>
      </w:r>
      <w:r>
        <w:rPr>
          <w:color w:val="334155"/>
          <w:sz w:val="20"/>
        </w:rPr>
        <w:t>1-click salary processing with automated deductions, bonuses, and transaction reference generation.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Compliance Disbursal Statements: </w:t>
      </w:r>
      <w:r>
        <w:rPr>
          <w:color w:val="334155"/>
          <w:sz w:val="20"/>
        </w:rPr>
        <w:t>Downloadable and printable statutory payroll audit logs.</w:t>
      </w:r>
    </w:p>
    <w:p>
      <w:pPr>
        <w:keepNext/>
        <w:spacing w:before="320" w:after="120"/>
      </w:pPr>
      <w:r>
        <w:rPr>
          <w:rFonts w:ascii="Arial" w:hAnsi="Arial"/>
          <w:b/>
          <w:color w:val="059669"/>
          <w:sz w:val="26"/>
        </w:rPr>
        <w:t>3.10 NexFin AI Copilot 2.0 &amp; Multilingual Intelligence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3-Pillar Root Cause Engine: </w:t>
      </w:r>
      <w:r>
        <w:rPr>
          <w:color w:val="334155"/>
          <w:sz w:val="20"/>
        </w:rPr>
        <w:t>Interactive assistant answering complex financial queries with 'Root Cause', 'Immediate Impact', and 'Recommended Action'.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1-Click Action Triggers: </w:t>
      </w:r>
      <w:r>
        <w:rPr>
          <w:color w:val="334155"/>
          <w:sz w:val="20"/>
        </w:rPr>
        <w:t>Direct execution buttons inside the chat drawer navigating to relevant diagnostic tools.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18 Indian Languages Support: </w:t>
      </w:r>
      <w:r>
        <w:rPr>
          <w:color w:val="334155"/>
          <w:sz w:val="20"/>
        </w:rPr>
        <w:t>Complete UI localized in Hindi, Marathi, Gujarati, Tamil, Telugu, Kannada, Bengali, Punjabi, Malayalam, and more.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4. Security, Data Privacy &amp; Compliance Standards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Client-Side Encryption &amp; Storage: </w:t>
      </w:r>
      <w:r>
        <w:rPr>
          <w:color w:val="334155"/>
          <w:sz w:val="20"/>
        </w:rPr>
        <w:t>User financial twins are persisted in authenticated user-partitioned local storage and encrypted backend datastores.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Consent-Driven Architecture: </w:t>
      </w:r>
      <w:r>
        <w:rPr>
          <w:color w:val="334155"/>
          <w:sz w:val="20"/>
        </w:rPr>
        <w:t>In accordance with India Account Aggregator (AA) and DPDP Act frameworks, data is only ingested with explicit user consent.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Non-Custodial Financial Design: </w:t>
      </w:r>
      <w:r>
        <w:rPr>
          <w:color w:val="334155"/>
          <w:sz w:val="20"/>
        </w:rPr>
        <w:t>NexFin acts purely as an analytical decision-support twin and does not hold or custody user funds.</w:t>
      </w:r>
    </w:p>
    <w:p>
      <w:pPr>
        <w:pStyle w:val="ListBullet"/>
        <w:spacing w:after="60"/>
      </w:pPr>
      <w:r>
        <w:rPr>
          <w:b/>
          <w:color w:val="0F172A"/>
          <w:sz w:val="20"/>
        </w:rPr>
        <w:t xml:space="preserve">Audit Trail &amp; Exportability: </w:t>
      </w:r>
      <w:r>
        <w:rPr>
          <w:color w:val="334155"/>
          <w:sz w:val="20"/>
        </w:rPr>
        <w:t>All calculations and ledgers can be exported in standardized CSV format for statutory audits.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