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95959"/>
          <w:sz w:val="18"/>
          <w:szCs w:val="18"/>
        </w:rPr>
        <w:t xml:space="preserve">EQUITY RESEARCH — INITIATING COVERAGE</w:t>
      </w:r>
    </w:p>
    <w:p>
      <w:pPr>
        <w:spacing w:after="40"/>
      </w:pPr>
      <w:r>
        <w:rPr>
          <w:b/>
          <w:bCs/>
          <w:color w:val="1F3864"/>
          <w:sz w:val="40"/>
          <w:szCs w:val="40"/>
        </w:rPr>
        <w:t xml:space="preserve">Infosys Ltd</w:t>
      </w:r>
    </w:p>
    <w:p>
      <w:pPr>
        <w:spacing w:after="160"/>
      </w:pPr>
      <w:r>
        <w:rPr>
          <w:color w:val="595959"/>
          <w:sz w:val="19"/>
          <w:szCs w:val="19"/>
        </w:rPr>
        <w:t xml:space="preserve">NSE: INFY  |  BSE: 500209  |  Sector: IT Services  |  </w:t>
      </w:r>
      <w:r>
        <w:rPr>
          <w:i/>
          <w:iCs/>
          <w:color w:val="595959"/>
          <w:sz w:val="19"/>
          <w:szCs w:val="19"/>
        </w:rPr>
        <w:t xml:space="preserve">22 August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7"/>
        <w:gridCol w:w="2337"/>
      </w:tblGrid>
      <w:tr>
        <w:tc>
          <w:tcPr>
            <w:tcW w:type="dxa" w:w="2338"/>
            <w:shd w:fill="1F3864" w:val="clear"/>
            <w:tcMar>
              <w:top w:type="dxa" w:w="60"/>
              <w:left w:type="dxa" w:w="100"/>
              <w:bottom w:type="dxa" w:w="60"/>
              <w:right w:type="dxa" w:w="100"/>
            </w:tcMar>
          </w:tcPr>
          <w:p>
            <w:pPr>
              <w:jc w:val="center"/>
            </w:pPr>
            <w:r>
              <w:rPr>
                <w:b/>
                <w:bCs/>
                <w:color w:val="FFFFFF"/>
                <w:sz w:val="16"/>
                <w:szCs w:val="16"/>
              </w:rPr>
              <w:t xml:space="preserve">RATING</w:t>
            </w:r>
          </w:p>
        </w:tc>
        <w:tc>
          <w:tcPr>
            <w:tcW w:type="dxa" w:w="2338"/>
            <w:shd w:fill="1F3864" w:val="clear"/>
            <w:tcMar>
              <w:top w:type="dxa" w:w="60"/>
              <w:left w:type="dxa" w:w="100"/>
              <w:bottom w:type="dxa" w:w="60"/>
              <w:right w:type="dxa" w:w="100"/>
            </w:tcMar>
          </w:tcPr>
          <w:p>
            <w:pPr>
              <w:jc w:val="center"/>
            </w:pPr>
            <w:r>
              <w:rPr>
                <w:b/>
                <w:bCs/>
                <w:color w:val="FFFFFF"/>
                <w:sz w:val="16"/>
                <w:szCs w:val="16"/>
              </w:rPr>
              <w:t xml:space="preserve">CMP</w:t>
            </w:r>
          </w:p>
        </w:tc>
        <w:tc>
          <w:tcPr>
            <w:tcW w:type="dxa" w:w="2337"/>
            <w:shd w:fill="1F3864" w:val="clear"/>
            <w:tcMar>
              <w:top w:type="dxa" w:w="60"/>
              <w:left w:type="dxa" w:w="100"/>
              <w:bottom w:type="dxa" w:w="60"/>
              <w:right w:type="dxa" w:w="100"/>
            </w:tcMar>
          </w:tcPr>
          <w:p>
            <w:pPr>
              <w:jc w:val="center"/>
            </w:pPr>
            <w:r>
              <w:rPr>
                <w:b/>
                <w:bCs/>
                <w:color w:val="FFFFFF"/>
                <w:sz w:val="16"/>
                <w:szCs w:val="16"/>
              </w:rPr>
              <w:t xml:space="preserve">TARGET PRICE (12M)</w:t>
            </w:r>
          </w:p>
        </w:tc>
        <w:tc>
          <w:tcPr>
            <w:tcW w:type="dxa" w:w="2337"/>
            <w:shd w:fill="1F3864" w:val="clear"/>
            <w:tcMar>
              <w:top w:type="dxa" w:w="60"/>
              <w:left w:type="dxa" w:w="100"/>
              <w:bottom w:type="dxa" w:w="60"/>
              <w:right w:type="dxa" w:w="100"/>
            </w:tcMar>
          </w:tcPr>
          <w:p>
            <w:pPr>
              <w:jc w:val="center"/>
            </w:pPr>
            <w:r>
              <w:rPr>
                <w:b/>
                <w:bCs/>
                <w:color w:val="FFFFFF"/>
                <w:sz w:val="16"/>
                <w:szCs w:val="16"/>
              </w:rPr>
              <w:t xml:space="preserve">UPSIDE</w:t>
            </w:r>
          </w:p>
        </w:tc>
      </w:tr>
      <w:tr>
        <w:tc>
          <w:tcPr>
            <w:tcW w:type="dxa" w:w="2338"/>
            <w:shd w:fill="F2F2F2" w:val="clear"/>
            <w:tcMar>
              <w:top w:type="dxa" w:w="60"/>
              <w:left w:type="dxa" w:w="100"/>
              <w:bottom w:type="dxa" w:w="60"/>
              <w:right w:type="dxa" w:w="100"/>
            </w:tcMar>
          </w:tcPr>
          <w:p>
            <w:pPr>
              <w:jc w:val="center"/>
            </w:pPr>
            <w:r>
              <w:rPr>
                <w:b/>
                <w:bCs/>
                <w:color w:val="8A6D00"/>
                <w:sz w:val="22"/>
                <w:szCs w:val="22"/>
              </w:rPr>
              <w:t xml:space="preserve">HOLD / NEUTRAL</w:t>
            </w:r>
          </w:p>
        </w:tc>
        <w:tc>
          <w:tcPr>
            <w:tcW w:type="dxa" w:w="2338"/>
            <w:shd w:fill="F2F2F2" w:val="clear"/>
            <w:tcMar>
              <w:top w:type="dxa" w:w="60"/>
              <w:left w:type="dxa" w:w="100"/>
              <w:bottom w:type="dxa" w:w="60"/>
              <w:right w:type="dxa" w:w="100"/>
            </w:tcMar>
          </w:tcPr>
          <w:p>
            <w:pPr>
              <w:jc w:val="center"/>
            </w:pPr>
            <w:r>
              <w:rPr>
                <w:b/>
                <w:bCs/>
                <w:color w:val="000000"/>
                <w:sz w:val="22"/>
                <w:szCs w:val="22"/>
              </w:rPr>
              <w:t xml:space="preserve">Rs 1,121</w:t>
            </w:r>
          </w:p>
        </w:tc>
        <w:tc>
          <w:tcPr>
            <w:tcW w:type="dxa" w:w="2337"/>
            <w:shd w:fill="F2F2F2" w:val="clear"/>
            <w:tcMar>
              <w:top w:type="dxa" w:w="60"/>
              <w:left w:type="dxa" w:w="100"/>
              <w:bottom w:type="dxa" w:w="60"/>
              <w:right w:type="dxa" w:w="100"/>
            </w:tcMar>
          </w:tcPr>
          <w:p>
            <w:pPr>
              <w:jc w:val="center"/>
            </w:pPr>
            <w:r>
              <w:rPr>
                <w:b/>
                <w:bCs/>
                <w:color w:val="000000"/>
                <w:sz w:val="22"/>
                <w:szCs w:val="22"/>
              </w:rPr>
              <w:t>Rs 1,037</w:t>
            </w:r>
          </w:p>
        </w:tc>
        <w:tc>
          <w:tcPr>
            <w:tcW w:type="dxa" w:w="2337"/>
            <w:shd w:fill="F2F2F2" w:val="clear"/>
            <w:tcMar>
              <w:top w:type="dxa" w:w="60"/>
              <w:left w:type="dxa" w:w="100"/>
              <w:bottom w:type="dxa" w:w="60"/>
              <w:right w:type="dxa" w:w="100"/>
            </w:tcMar>
          </w:tcPr>
          <w:p>
            <w:r>
              <w:t>-7.5%</w:t>
            </w:r>
          </w:p>
        </w:tc>
      </w:tr>
    </w:tbl>
    <w:p>
      <w:pPr>
        <w:spacing w:after="0" w:before="240"/>
      </w:pPr>
    </w:p>
    <w:p>
      <w:pPr>
        <w:pStyle w:val="Heading1"/>
        <w:pBdr>
          <w:bottom w:val="single" w:color="1F3864" w:sz="6" w:space="2"/>
        </w:pBdr>
        <w:spacing w:after="120" w:before="280"/>
      </w:pPr>
      <w:r>
        <w:rPr>
          <w:b/>
          <w:bCs/>
          <w:color w:val="1F3864"/>
          <w:sz w:val="26"/>
          <w:szCs w:val="26"/>
        </w:rPr>
        <w:t xml:space="preserve">Investment Thesis</w:t>
      </w:r>
    </w:p>
    <w:p>
      <w:pPr>
        <w:spacing w:after="140" w:line="276"/>
        <w:jc w:val="both"/>
      </w:pPr>
      <w:r>
        <w:rPr>
          <w:sz w:val="21"/>
          <w:szCs w:val="21"/>
        </w:rPr>
        <w:t>We initiate on Infosys with a Hold/Neutral rating and a 12-month indicative target price of Rs 1,037, implying roughly 7.5% downside from the current market price of Rs 1,121. The valuation rests on a single FCFF DCF (Rs 796/share). The forecast is built bottom-up from eight segment-level revenue and margin lines and also expressed as a top-down consolidated build; because both views share the same revenue and the same consolidated EBIT margin, they reconcile to the rupee — a build-integrity check rather than two independent valuations. Core, large-cap peers (TCS, HCL Technologies, Wipro, Tech Mahindra, LTIMindtree) imply meaningfully higher fair value on EV/Revenue, EV/EBITDA and P/E. We weight the target price 60% to the DCF and 40% to the core-peer EV/EBITDA read, because the DCF captures Infosys's own guided cash-flow economics directly while the comps read is a market-based cross-check, not a substitute for it. That weighting is a judgment call, stated plainly rather than hidden: a reader who weights comps more heavily would land on a higher target and a more constructive rating. The result is deliberately conservative — the DCF points to real overvaluation at the current price, and the peer discount only partly offsets that. Conviction stays low until FY27 growth, large-deal conversion, or AI monetization show clearer evidence of acceleration.</w:t>
      </w:r>
    </w:p>
    <w:p>
      <w:pPr>
        <w:pStyle w:val="Heading1"/>
        <w:pBdr>
          <w:bottom w:val="single" w:color="1F3864" w:sz="6" w:space="2"/>
        </w:pBdr>
        <w:spacing w:after="120" w:before="280"/>
      </w:pPr>
      <w:r>
        <w:rPr>
          <w:b/>
          <w:bCs/>
          <w:color w:val="1F3864"/>
          <w:sz w:val="26"/>
          <w:szCs w:val="26"/>
        </w:rPr>
        <w:t xml:space="preserve">Business Overview</w:t>
      </w:r>
    </w:p>
    <w:p>
      <w:pPr>
        <w:spacing w:after="140" w:line="276"/>
        <w:jc w:val="both"/>
      </w:pPr>
      <w:r>
        <w:rPr>
          <w:sz w:val="21"/>
          <w:szCs w:val="21"/>
        </w:rPr>
        <w:t>Infosys is India's second-largest IT services and consulting company, positioning itself as an “AI-first business consulting and technology services” provider built around its Topaz AI platform. The company delivered Rs 1,78,650 crore (~$20,158 million) in FY26 revenue, growing 3.1% in constant currency, with reported operating margin of 20.3% (21.0% on an adjusted basis) and net profit after non-controlling interests up 4.9% in USD terms (Rs terms: +10.2%) to Rs 29,440 crore (~$3,313 million).</w:t>
      </w:r>
    </w:p>
    <w:p>
      <w:pPr>
        <w:spacing w:after="140" w:line="276"/>
        <w:jc w:val="both"/>
      </w:pPr>
      <w:r>
        <w:rPr>
          <w:sz w:val="21"/>
          <w:szCs w:val="21"/>
        </w:rPr>
        <w:t xml:space="preserve">Revenue spans Financial Services, Retail, Manufacturing, Communications, Energy/Utilities/Resources/Services, Life Sciences and Hi-Tech, with North America the largest geography and Europe second — which is why constant-currency growth, not reported growth, is the number that matters for a business this exposed to USD/EUR translation. The model is people-driven and asset-light (D&amp;A and capex are both a low single-digit percentage of revenue historically), with headcount over 328,000 at FY26-end. Growth has historically come from large, multi-year transformation deals rather than smaller project work: FY26 saw 96 large deals worth $15 billion in total contract value, 55% of it net new rather than renewals. Infosys's AI push — six stated AI-services focus areas and partnerships such as a US bank's use of Infosys Topaz Fabric in core banking — is the company's attempt to stay ahead of the same AI wave that is compressing the traditional application development and maintenance fee pool industry-wide.</w:t>
      </w:r>
    </w:p>
    <w:p>
      <w:pPr>
        <w:pStyle w:val="Heading1"/>
        <w:pBdr>
          <w:bottom w:val="single" w:color="1F3864" w:sz="6" w:space="2"/>
        </w:pBdr>
        <w:spacing w:after="120" w:before="280"/>
      </w:pPr>
      <w:r>
        <w:rPr>
          <w:b/>
          <w:bCs/>
          <w:color w:val="1F3864"/>
          <w:sz w:val="26"/>
          <w:szCs w:val="26"/>
        </w:rPr>
        <w:t xml:space="preserve">Recent Performance</w:t>
      </w:r>
    </w:p>
    <w:p>
      <w:pPr>
        <w:spacing w:after="140" w:line="276"/>
        <w:jc w:val="both"/>
      </w:pPr>
      <w:r>
        <w:rPr>
          <w:sz w:val="21"/>
          <w:szCs w:val="21"/>
        </w:rPr>
        <w:t xml:space="preserve">Q1 FY27 (ended June 2026) is where the current debate centers. Infosys delivered $5,082 million in revenue, up just 2.4% year-on-year and 1.0% sequentially in constant currency, with operating margin at 21.1% (up 20bps sequentially) and rupee EPS growth of a healthier 14.9% year-on-year. Management responded by narrowing FY27 revenue guidance down to 1.5–3.0% constant-currency growth (from 1.5–3.5%), while holding margin guidance steady at 20–22%.</w:t>
      </w:r>
    </w:p>
    <w:p>
      <w:pPr>
        <w:spacing w:after="140" w:line="276"/>
        <w:jc w:val="both"/>
      </w:pPr>
      <w:r>
        <w:rPr>
          <w:sz w:val="21"/>
          <w:szCs w:val="21"/>
        </w:rPr>
        <w:t xml:space="preserve">That is a genuine deceleration signal, but two data points cut the other way. First, large-deal quality improved even as growth guidance was cut: Q1 FY27 large-deal TCV was $3.6 billion, with 61% net new — a higher net-new share than the 55% for all of FY26, and a leading indicator that typically shows up in revenue with a multi-quarter lag. Second, margins have held up better than growth: the ~80bps year-on-year FY26 EBIT margin decline was partly offset by roughly 30bps of efficiency gains from the Project Maximus cost program, and Q1 FY27 margin sits near the top of the guided band. The market's response has nonetheless been sharp — the stock trades near 52-week lows and its TTM P/E has compressed to roughly 15x, against a 10-year median of 22.66x and a broader software industry median of 20.59x.</w:t>
      </w:r>
    </w:p>
    <w:p>
      <w:pPr>
        <w:pStyle w:val="Heading1"/>
        <w:pBdr>
          <w:bottom w:val="single" w:color="1F3864" w:sz="6" w:space="2"/>
        </w:pBdr>
        <w:spacing w:after="120" w:before="280"/>
      </w:pPr>
      <w:r>
        <w:rPr>
          <w:b/>
          <w:bCs/>
          <w:color w:val="1F3864"/>
          <w:sz w:val="26"/>
          <w:szCs w:val="26"/>
        </w:rPr>
        <w:t xml:space="preserve">Valuation</w:t>
      </w:r>
    </w:p>
    <w:p>
      <w:pPr>
        <w:pStyle w:val="Heading2"/>
        <w:spacing w:after="80" w:before="200"/>
      </w:pPr>
      <w:r>
        <w:rPr>
          <w:b/>
          <w:bCs/>
          <w:color w:val="1F3864"/>
          <w:sz w:val="22"/>
          <w:szCs w:val="22"/>
        </w:rPr>
        <w:t>DCF — One Forecast, Reconciled Top-Down and Bottom-Up</w:t>
      </w:r>
    </w:p>
    <w:p>
      <w:pPr>
        <w:spacing w:after="140" w:line="276"/>
        <w:jc w:val="both"/>
      </w:pPr>
      <w:r>
        <w:t>The DCF runs on a single integrated forecast, expressed two ways as an internal consistency check rather than as two independent valuations. The top-down (Legacy) view is a 5-year FCFF DCF (FY27–FY31) driven by a consolidated EBIT path; the bottom-up (Integrated) view aggregates the same five years from eight segment-level revenue and operating-income lines (Financial Services, Manufacturing, Retail, Communications, Energy/Utilities/Resources/Services, Hi-Tech, Life Sciences, and All Other), then explicitly deducts normalized corporate/unallocable costs to reconcile segment operating income down to consolidated EBIT — rather than treating the segment margin itself as the consolidated margin, which was a real gap in an earlier version of this model. Because the top-down view takes its revenue growth and EBIT margin from that same segment engine, the two views are not independent; the value of running both is confirming that the segment build ties to the aggregate. The normalization is shown, not hidden: FY26 reported unallocable expenses of Rs 6,191 crore, less a Rs 1,289 crore one-off labour-code provision, gives a normalized Rs 4,902 crore base that the corporate-cost bridge holds as a percentage of revenue going forward. Both views share the same WACC (11.59%, from a comps-based unlevered beta of 0.8045 re-levered to 0.8244 at Infosys's capital structure, a 6.77% risk-free rate (6 Aug 2026 observation) and a 6.18% equity risk premium), the same 29.5% normalized effective tax rate, and the same terminal framework: 3.0% terminal growth and an explicit 40% terminal ROIC (down from Infosys's own elevated historical ROIC, but still comfortably above WACC), which together derive a 7.5% terminal reinvestment rate rather than assuming one.</w:t>
      </w:r>
    </w:p>
    <w:p>
      <w:pPr>
        <w:spacing w:after="140" w:line="276"/>
        <w:jc w:val="both"/>
      </w:pPr>
      <w:r>
        <w:t>Once the corporate-cost bridge and a consistent Gordon (1+g) terminal convention are applied to both, the top-down and bottom-up views reconcile exactly at Rs 796/share — confirming the segment build ties to the aggregate rather than offering a second, independent opinion. Scenario-testing operating assumptions, WACC and terminal growth around the base case produces a bear case of roughly Rs 715 and a bull case of roughly Rs 910. The Rs 796 DCF value is the cash-flow-based fair-value anchor for this note — about 29% below the current price of Rs 1,121. The terminal-value diagnostic implies ~6.9x FY31 EBITDA versus a ~11.6x core-peer median; this is a consequence of the DCF's terminal cash-flow economics, not an exit-multiple input, and is disclosed as a conservative cross-check rather than used to force the valuation.</w:t>
      </w:r>
    </w:p>
    <w:p>
      <w:pPr>
        <w:pStyle w:val="Heading2"/>
        <w:spacing w:after="80" w:before="200"/>
      </w:pPr>
      <w:r>
        <w:rPr>
          <w:b/>
          <w:bCs/>
          <w:color w:val="1F3864"/>
          <w:sz w:val="22"/>
          <w:szCs w:val="22"/>
        </w:rPr>
        <w:t xml:space="preserve">Comparable Companies</w:t>
      </w:r>
    </w:p>
    <w:p>
      <w:pPr>
        <w:spacing w:after="140" w:line="276"/>
        <w:jc w:val="both"/>
      </w:pPr>
      <w:r>
        <w:rPr>
          <w:sz w:val="21"/>
          <w:szCs w:val="21"/>
        </w:rPr>
        <w:t xml:space="preserve">We separate a core peer set (TCS, HCL Technologies, Wipro, Tech Mahindra, LTIMindtree — large-cap IT services firms genuinely comparable in scale and business mix) from an extended peer set (Persistent Systems, Coforge, Mphasis, Hexaware), which trades at meaningfully higher multiples reflecting a smaller, higher-growth mid-cap profile that isn't a fair like-for-like comparison for Infosys. The extended set is shown for context, not used to anchor the target price.</w:t>
      </w:r>
    </w:p>
    <w:tbl>
      <w:tblPr>
        <w:tblW w:type="dxa" w:w="945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700"/>
        <w:gridCol w:w="1700"/>
      </w:tblGrid>
      <w:tr>
        <w:trPr>
          <w:tblHeader/>
        </w:trPr>
        <w:tc>
          <w:tcPr>
            <w:tcW w:type="dxa" w:w="4350"/>
            <w:shd w:fill="1F3864" w:val="clear"/>
            <w:tcMar>
              <w:top w:type="dxa" w:w="60"/>
              <w:left w:type="dxa" w:w="100"/>
              <w:bottom w:type="dxa" w:w="60"/>
              <w:right w:type="dxa" w:w="100"/>
            </w:tcMar>
          </w:tcPr>
          <w:p>
            <w:pPr>
              <w:jc w:val="left"/>
            </w:pPr>
            <w:r>
              <w:rPr>
                <w:b/>
                <w:bCs/>
                <w:color w:val="FFFFFF"/>
                <w:sz w:val="18"/>
                <w:szCs w:val="18"/>
              </w:rPr>
              <w:t xml:space="preserve">Company</w:t>
            </w:r>
          </w:p>
        </w:tc>
        <w:tc>
          <w:tcPr>
            <w:tcW w:type="dxa" w:w="1700"/>
            <w:shd w:fill="1F3864" w:val="clear"/>
            <w:tcMar>
              <w:top w:type="dxa" w:w="60"/>
              <w:left w:type="dxa" w:w="100"/>
              <w:bottom w:type="dxa" w:w="60"/>
              <w:right w:type="dxa" w:w="100"/>
            </w:tcMar>
          </w:tcPr>
          <w:p>
            <w:pPr>
              <w:jc w:val="center"/>
            </w:pPr>
            <w:r>
              <w:rPr>
                <w:b/>
                <w:bCs/>
                <w:color w:val="FFFFFF"/>
                <w:sz w:val="18"/>
                <w:szCs w:val="18"/>
              </w:rPr>
              <w:t xml:space="preserve">EV/Revenue</w:t>
            </w:r>
          </w:p>
        </w:tc>
        <w:tc>
          <w:tcPr>
            <w:tcW w:type="dxa" w:w="1700"/>
            <w:shd w:fill="1F3864" w:val="clear"/>
            <w:tcMar>
              <w:top w:type="dxa" w:w="60"/>
              <w:left w:type="dxa" w:w="100"/>
              <w:bottom w:type="dxa" w:w="60"/>
              <w:right w:type="dxa" w:w="100"/>
            </w:tcMar>
          </w:tcPr>
          <w:p>
            <w:pPr>
              <w:jc w:val="center"/>
            </w:pPr>
            <w:r>
              <w:rPr>
                <w:b/>
                <w:bCs/>
                <w:color w:val="FFFFFF"/>
                <w:sz w:val="18"/>
                <w:szCs w:val="18"/>
              </w:rPr>
              <w:t xml:space="preserve">EV/EBITDA</w:t>
            </w:r>
          </w:p>
        </w:tc>
        <w:tc>
          <w:tcPr>
            <w:tcW w:type="dxa" w:w="1700"/>
            <w:shd w:fill="1F3864" w:val="clear"/>
            <w:tcMar>
              <w:top w:type="dxa" w:w="60"/>
              <w:left w:type="dxa" w:w="100"/>
              <w:bottom w:type="dxa" w:w="60"/>
              <w:right w:type="dxa" w:w="100"/>
            </w:tcMar>
          </w:tcPr>
          <w:p>
            <w:pPr>
              <w:jc w:val="center"/>
            </w:pPr>
            <w:r>
              <w:rPr>
                <w:b/>
                <w:bCs/>
                <w:color w:val="FFFFFF"/>
                <w:sz w:val="18"/>
                <w:szCs w:val="18"/>
              </w:rPr>
              <w:t xml:space="preserve">P/E</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Infosys</w:t>
            </w:r>
          </w:p>
        </w:tc>
        <w:tc>
          <w:tcPr>
            <w:tcW w:type="dxa" w:w="1700"/>
            <w:tcMar>
              <w:top w:type="dxa" w:w="60"/>
              <w:left w:type="dxa" w:w="100"/>
              <w:bottom w:type="dxa" w:w="60"/>
              <w:right w:type="dxa" w:w="100"/>
            </w:tcMar>
          </w:tcPr>
          <w:p>
            <w:pPr>
              <w:jc w:val="center"/>
            </w:pPr>
            <w:r>
              <w:rPr>
                <w:b w:val="false"/>
                <w:bCs w:val="false"/>
                <w:color w:val="000000"/>
                <w:sz w:val="18"/>
                <w:szCs w:val="18"/>
              </w:rPr>
              <w:t xml:space="preserve">2.4x</w:t>
            </w:r>
          </w:p>
        </w:tc>
        <w:tc>
          <w:tcPr>
            <w:tcW w:type="dxa" w:w="1700"/>
            <w:tcMar>
              <w:top w:type="dxa" w:w="60"/>
              <w:left w:type="dxa" w:w="100"/>
              <w:bottom w:type="dxa" w:w="60"/>
              <w:right w:type="dxa" w:w="100"/>
            </w:tcMar>
          </w:tcPr>
          <w:p>
            <w:pPr>
              <w:jc w:val="center"/>
            </w:pPr>
            <w:r>
              <w:rPr>
                <w:b w:val="false"/>
                <w:bCs w:val="false"/>
                <w:color w:val="000000"/>
                <w:sz w:val="18"/>
                <w:szCs w:val="18"/>
              </w:rPr>
              <w:t xml:space="preserve">9.2x</w:t>
            </w:r>
          </w:p>
        </w:tc>
        <w:tc>
          <w:tcPr>
            <w:tcW w:type="dxa" w:w="1700"/>
            <w:tcMar>
              <w:top w:type="dxa" w:w="60"/>
              <w:left w:type="dxa" w:w="100"/>
              <w:bottom w:type="dxa" w:w="60"/>
              <w:right w:type="dxa" w:w="100"/>
            </w:tcMar>
          </w:tcPr>
          <w:p>
            <w:pPr>
              <w:jc w:val="center"/>
            </w:pPr>
            <w:r>
              <w:rPr>
                <w:b w:val="false"/>
                <w:bCs w:val="false"/>
                <w:color w:val="000000"/>
                <w:sz w:val="18"/>
                <w:szCs w:val="18"/>
              </w:rPr>
              <w:t xml:space="preserve">15.0x</w:t>
            </w:r>
          </w:p>
        </w:tc>
      </w:tr>
      <w:tr>
        <w:tc>
          <w:tcPr>
            <w:tcW w:type="dxa" w:w="4350"/>
            <w:shd w:fill="F2F2F2" w:val="clear"/>
            <w:tcMar>
              <w:top w:type="dxa" w:w="60"/>
              <w:left w:type="dxa" w:w="100"/>
              <w:bottom w:type="dxa" w:w="60"/>
              <w:right w:type="dxa" w:w="100"/>
            </w:tcMar>
          </w:tcPr>
          <w:p>
            <w:pPr>
              <w:jc w:val="left"/>
            </w:pPr>
            <w:r>
              <w:rPr>
                <w:b w:val="false"/>
                <w:bCs w:val="false"/>
                <w:color w:val="000000"/>
                <w:sz w:val="18"/>
                <w:szCs w:val="18"/>
              </w:rPr>
              <w:t xml:space="preserve">TCS</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3.0x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10.6x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16.6x</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HCL Technologies</w:t>
            </w:r>
          </w:p>
        </w:tc>
        <w:tc>
          <w:tcPr>
            <w:tcW w:type="dxa" w:w="1700"/>
            <w:tcMar>
              <w:top w:type="dxa" w:w="60"/>
              <w:left w:type="dxa" w:w="100"/>
              <w:bottom w:type="dxa" w:w="60"/>
              <w:right w:type="dxa" w:w="100"/>
            </w:tcMar>
          </w:tcPr>
          <w:p>
            <w:pPr>
              <w:jc w:val="center"/>
            </w:pPr>
            <w:r>
              <w:rPr>
                <w:b w:val="false"/>
                <w:bCs w:val="false"/>
                <w:color w:val="000000"/>
                <w:sz w:val="18"/>
                <w:szCs w:val="18"/>
              </w:rPr>
              <w:t xml:space="preserve">2.5x</w:t>
            </w:r>
          </w:p>
        </w:tc>
        <w:tc>
          <w:tcPr>
            <w:tcW w:type="dxa" w:w="1700"/>
            <w:tcMar>
              <w:top w:type="dxa" w:w="60"/>
              <w:left w:type="dxa" w:w="100"/>
              <w:bottom w:type="dxa" w:w="60"/>
              <w:right w:type="dxa" w:w="100"/>
            </w:tcMar>
          </w:tcPr>
          <w:p>
            <w:pPr>
              <w:jc w:val="center"/>
            </w:pPr>
            <w:r>
              <w:rPr>
                <w:b w:val="false"/>
                <w:bCs w:val="false"/>
                <w:color w:val="000000"/>
                <w:sz w:val="18"/>
                <w:szCs w:val="18"/>
              </w:rPr>
              <w:t xml:space="preserve">11.6x</w:t>
            </w:r>
          </w:p>
        </w:tc>
        <w:tc>
          <w:tcPr>
            <w:tcW w:type="dxa" w:w="1700"/>
            <w:tcMar>
              <w:top w:type="dxa" w:w="60"/>
              <w:left w:type="dxa" w:w="100"/>
              <w:bottom w:type="dxa" w:w="60"/>
              <w:right w:type="dxa" w:w="100"/>
            </w:tcMar>
          </w:tcPr>
          <w:p>
            <w:pPr>
              <w:jc w:val="center"/>
            </w:pPr>
            <w:r>
              <w:rPr>
                <w:b w:val="false"/>
                <w:bCs w:val="false"/>
                <w:color w:val="000000"/>
                <w:sz w:val="18"/>
                <w:szCs w:val="18"/>
              </w:rPr>
              <w:t xml:space="preserve">20.3x</w:t>
            </w:r>
          </w:p>
        </w:tc>
      </w:tr>
      <w:tr>
        <w:tc>
          <w:tcPr>
            <w:tcW w:type="dxa" w:w="4350"/>
            <w:shd w:fill="F2F2F2" w:val="clear"/>
            <w:tcMar>
              <w:top w:type="dxa" w:w="60"/>
              <w:left w:type="dxa" w:w="100"/>
              <w:bottom w:type="dxa" w:w="60"/>
              <w:right w:type="dxa" w:w="100"/>
            </w:tcMar>
          </w:tcPr>
          <w:p>
            <w:pPr>
              <w:jc w:val="left"/>
            </w:pPr>
            <w:r>
              <w:rPr>
                <w:b w:val="false"/>
                <w:bCs w:val="false"/>
                <w:color w:val="000000"/>
                <w:sz w:val="18"/>
                <w:szCs w:val="18"/>
              </w:rPr>
              <w:t xml:space="preserve">Wipro</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2.0x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8.6x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13.5x</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Tech Mahindra</w:t>
            </w:r>
          </w:p>
        </w:tc>
        <w:tc>
          <w:tcPr>
            <w:tcW w:type="dxa" w:w="1700"/>
            <w:tcMar>
              <w:top w:type="dxa" w:w="60"/>
              <w:left w:type="dxa" w:w="100"/>
              <w:bottom w:type="dxa" w:w="60"/>
              <w:right w:type="dxa" w:w="100"/>
            </w:tcMar>
          </w:tcPr>
          <w:p>
            <w:pPr>
              <w:jc w:val="center"/>
            </w:pPr>
            <w:r>
              <w:rPr>
                <w:b w:val="false"/>
                <w:bCs w:val="false"/>
                <w:color w:val="000000"/>
                <w:sz w:val="18"/>
                <w:szCs w:val="18"/>
              </w:rPr>
              <w:t xml:space="preserve">2.6x</w:t>
            </w:r>
          </w:p>
        </w:tc>
        <w:tc>
          <w:tcPr>
            <w:tcW w:type="dxa" w:w="1700"/>
            <w:tcMar>
              <w:top w:type="dxa" w:w="60"/>
              <w:left w:type="dxa" w:w="100"/>
              <w:bottom w:type="dxa" w:w="60"/>
              <w:right w:type="dxa" w:w="100"/>
            </w:tcMar>
          </w:tcPr>
          <w:p>
            <w:pPr>
              <w:jc w:val="center"/>
            </w:pPr>
            <w:r>
              <w:rPr>
                <w:b w:val="false"/>
                <w:bCs w:val="false"/>
                <w:color w:val="000000"/>
                <w:sz w:val="18"/>
                <w:szCs w:val="18"/>
              </w:rPr>
              <w:t xml:space="preserve">16.0x</w:t>
            </w:r>
          </w:p>
        </w:tc>
        <w:tc>
          <w:tcPr>
            <w:tcW w:type="dxa" w:w="1700"/>
            <w:tcMar>
              <w:top w:type="dxa" w:w="60"/>
              <w:left w:type="dxa" w:w="100"/>
              <w:bottom w:type="dxa" w:w="60"/>
              <w:right w:type="dxa" w:w="100"/>
            </w:tcMar>
          </w:tcPr>
          <w:p>
            <w:pPr>
              <w:jc w:val="center"/>
            </w:pPr>
            <w:r>
              <w:rPr>
                <w:b w:val="false"/>
                <w:bCs w:val="false"/>
                <w:color w:val="000000"/>
                <w:sz w:val="18"/>
                <w:szCs w:val="18"/>
              </w:rPr>
              <w:t xml:space="preserve">30.1x</w:t>
            </w:r>
          </w:p>
        </w:tc>
      </w:tr>
      <w:tr>
        <w:tc>
          <w:tcPr>
            <w:tcW w:type="dxa" w:w="4350"/>
            <w:shd w:fill="F2F2F2" w:val="clear"/>
            <w:tcMar>
              <w:top w:type="dxa" w:w="60"/>
              <w:left w:type="dxa" w:w="100"/>
              <w:bottom w:type="dxa" w:w="60"/>
              <w:right w:type="dxa" w:w="100"/>
            </w:tcMar>
          </w:tcPr>
          <w:p>
            <w:pPr>
              <w:jc w:val="left"/>
            </w:pPr>
            <w:r>
              <w:rPr>
                <w:b w:val="false"/>
                <w:bCs w:val="false"/>
                <w:color w:val="000000"/>
                <w:sz w:val="18"/>
                <w:szCs w:val="18"/>
              </w:rPr>
              <w:t xml:space="preserve">LTIMindtree</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3.0x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14.9x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25.6x</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Core Peer Median (TCS/HCL/Wipro/TechM/LTIM)</w:t>
            </w:r>
          </w:p>
        </w:tc>
        <w:tc>
          <w:tcPr>
            <w:tcW w:type="dxa" w:w="1700"/>
            <w:tcMar>
              <w:top w:type="dxa" w:w="60"/>
              <w:left w:type="dxa" w:w="100"/>
              <w:bottom w:type="dxa" w:w="60"/>
              <w:right w:type="dxa" w:w="100"/>
            </w:tcMar>
          </w:tcPr>
          <w:p>
            <w:pPr>
              <w:jc w:val="center"/>
            </w:pPr>
            <w:r>
              <w:rPr>
                <w:b w:val="false"/>
                <w:bCs w:val="false"/>
                <w:color w:val="000000"/>
                <w:sz w:val="18"/>
                <w:szCs w:val="18"/>
              </w:rPr>
              <w:t xml:space="preserve">2.6x</w:t>
            </w:r>
          </w:p>
        </w:tc>
        <w:tc>
          <w:tcPr>
            <w:tcW w:type="dxa" w:w="1700"/>
            <w:tcMar>
              <w:top w:type="dxa" w:w="60"/>
              <w:left w:type="dxa" w:w="100"/>
              <w:bottom w:type="dxa" w:w="60"/>
              <w:right w:type="dxa" w:w="100"/>
            </w:tcMar>
          </w:tcPr>
          <w:p>
            <w:pPr>
              <w:jc w:val="center"/>
            </w:pPr>
            <w:r>
              <w:rPr>
                <w:b w:val="false"/>
                <w:bCs w:val="false"/>
                <w:color w:val="000000"/>
                <w:sz w:val="18"/>
                <w:szCs w:val="18"/>
              </w:rPr>
              <w:t xml:space="preserve">11.6x</w:t>
            </w:r>
          </w:p>
        </w:tc>
        <w:tc>
          <w:tcPr>
            <w:tcW w:type="dxa" w:w="1700"/>
            <w:tcMar>
              <w:top w:type="dxa" w:w="60"/>
              <w:left w:type="dxa" w:w="100"/>
              <w:bottom w:type="dxa" w:w="60"/>
              <w:right w:type="dxa" w:w="100"/>
            </w:tcMar>
          </w:tcPr>
          <w:p>
            <w:pPr>
              <w:jc w:val="center"/>
            </w:pPr>
            <w:r>
              <w:rPr>
                <w:b w:val="false"/>
                <w:bCs w:val="false"/>
                <w:color w:val="000000"/>
                <w:sz w:val="18"/>
                <w:szCs w:val="18"/>
              </w:rPr>
              <w:t xml:space="preserve">20.3x</w:t>
            </w:r>
          </w:p>
        </w:tc>
      </w:tr>
      <w:tr>
        <w:tc>
          <w:tcPr>
            <w:tcW w:type="dxa" w:w="4350"/>
            <w:shd w:fill="F2F2F2" w:val="clear"/>
            <w:tcMar>
              <w:top w:type="dxa" w:w="60"/>
              <w:left w:type="dxa" w:w="100"/>
              <w:bottom w:type="dxa" w:w="60"/>
              <w:right w:type="dxa" w:w="100"/>
            </w:tcMar>
          </w:tcPr>
          <w:p>
            <w:pPr>
              <w:jc w:val="left"/>
            </w:pPr>
            <w:r>
              <w:rPr>
                <w:b w:val="false"/>
                <w:bCs w:val="false"/>
                <w:color w:val="000000"/>
                <w:sz w:val="18"/>
                <w:szCs w:val="18"/>
              </w:rPr>
              <w:t xml:space="preserve">Extended Peer Median (Persistent/Coforge/Mphasis/Hexaware)</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3.7x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18.9x</w:t>
            </w:r>
          </w:p>
        </w:tc>
        <w:tc>
          <w:tcPr>
            <w:tcW w:type="dxa" w:w="1700"/>
            <w:shd w:fill="F2F2F2" w:val="clear"/>
            <w:tcMar>
              <w:top w:type="dxa" w:w="60"/>
              <w:left w:type="dxa" w:w="100"/>
              <w:bottom w:type="dxa" w:w="60"/>
              <w:right w:type="dxa" w:w="100"/>
            </w:tcMar>
          </w:tcPr>
          <w:p>
            <w:pPr>
              <w:jc w:val="center"/>
            </w:pPr>
            <w:r>
              <w:rPr>
                <w:b w:val="false"/>
                <w:bCs w:val="false"/>
                <w:color w:val="000000"/>
                <w:sz w:val="18"/>
                <w:szCs w:val="18"/>
              </w:rPr>
              <w:t xml:space="preserve">34.0x</w:t>
            </w:r>
          </w:p>
        </w:tc>
      </w:tr>
    </w:tbl>
    <w:p>
      <w:pPr>
        <w:spacing w:before="160"/>
      </w:pPr>
    </w:p>
    <w:p>
      <w:pPr>
        <w:spacing w:after="140" w:line="276"/>
        <w:jc w:val="both"/>
      </w:pPr>
      <w:r>
        <w:rPr>
          <w:sz w:val="21"/>
          <w:szCs w:val="21"/>
        </w:rPr>
        <w:t>Infosys trades at a discount to the core peer median on every multiple — most notably 9.2x EV/EBITDA against an 11.6x core median. Applying core-peer medians to Infosys's own financials implies a value per share of Rs 1,203 on EV/Revenue, Rs 1,399 on EV/EBITDA and Rs 1,515 on P/E. This is a real, useful cross-check, but it does not override the DCF: comps assume the peer group's current multiples are the right anchor, and if AI-driven fee-pool compression re-rates the whole sector downward, this method would overstate fair value for the core peers too, not just Infosys.</w:t>
      </w:r>
    </w:p>
    <w:p>
      <w:pPr>
        <w:pStyle w:val="Heading2"/>
        <w:spacing w:after="80" w:before="200"/>
      </w:pPr>
      <w:r>
        <w:rPr>
          <w:b/>
          <w:bCs/>
          <w:color w:val="1F3864"/>
          <w:sz w:val="22"/>
          <w:szCs w:val="22"/>
        </w:rPr>
        <w:t xml:space="preserve">Football Field &amp; Target Price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500"/>
        <w:gridCol w:w="2500"/>
      </w:tblGrid>
      <w:tr>
        <w:trPr>
          <w:tblHeader/>
        </w:trPr>
        <w:tc>
          <w:tcPr>
            <w:tcW w:type="dxa" w:w="4350"/>
            <w:shd w:fill="1F3864" w:val="clear"/>
            <w:tcMar>
              <w:top w:type="dxa" w:w="60"/>
              <w:left w:type="dxa" w:w="100"/>
              <w:bottom w:type="dxa" w:w="60"/>
              <w:right w:type="dxa" w:w="100"/>
            </w:tcMar>
          </w:tcPr>
          <w:p>
            <w:pPr>
              <w:jc w:val="left"/>
            </w:pPr>
            <w:r>
              <w:rPr>
                <w:b/>
                <w:bCs/>
                <w:color w:val="FFFFFF"/>
                <w:sz w:val="18"/>
                <w:szCs w:val="18"/>
              </w:rPr>
              <w:t xml:space="preserve">Method</w:t>
            </w:r>
          </w:p>
        </w:tc>
        <w:tc>
          <w:tcPr>
            <w:tcW w:type="dxa" w:w="2500"/>
            <w:shd w:fill="1F3864" w:val="clear"/>
            <w:tcMar>
              <w:top w:type="dxa" w:w="60"/>
              <w:left w:type="dxa" w:w="100"/>
              <w:bottom w:type="dxa" w:w="60"/>
              <w:right w:type="dxa" w:w="100"/>
            </w:tcMar>
          </w:tcPr>
          <w:p>
            <w:pPr>
              <w:jc w:val="center"/>
            </w:pPr>
            <w:r>
              <w:rPr>
                <w:b/>
                <w:bCs/>
                <w:color w:val="FFFFFF"/>
                <w:sz w:val="18"/>
                <w:szCs w:val="18"/>
              </w:rPr>
              <w:t xml:space="preserve">Low</w:t>
            </w:r>
          </w:p>
        </w:tc>
        <w:tc>
          <w:tcPr>
            <w:tcW w:type="dxa" w:w="2500"/>
            <w:shd w:fill="1F3864" w:val="clear"/>
            <w:tcMar>
              <w:top w:type="dxa" w:w="60"/>
              <w:left w:type="dxa" w:w="100"/>
              <w:bottom w:type="dxa" w:w="60"/>
              <w:right w:type="dxa" w:w="100"/>
            </w:tcMar>
          </w:tcPr>
          <w:p>
            <w:pPr>
              <w:jc w:val="center"/>
            </w:pPr>
            <w:r>
              <w:rPr>
                <w:b/>
                <w:bCs/>
                <w:color w:val="FFFFFF"/>
                <w:sz w:val="18"/>
                <w:szCs w:val="18"/>
              </w:rPr>
              <w:t xml:space="preserve">High</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Comps — Core Peer Range</w:t>
            </w:r>
          </w:p>
        </w:tc>
        <w:tc>
          <w:tcPr>
            <w:tcW w:type="dxa" w:w="2500"/>
            <w:tcMar>
              <w:top w:type="dxa" w:w="60"/>
              <w:left w:type="dxa" w:w="100"/>
              <w:bottom w:type="dxa" w:w="60"/>
              <w:right w:type="dxa" w:w="100"/>
            </w:tcMar>
          </w:tcPr>
          <w:p>
            <w:pPr>
              <w:jc w:val="center"/>
            </w:pPr>
            <w:r>
              <w:rPr>
                <w:b w:val="false"/>
                <w:bCs w:val="false"/>
                <w:color w:val="000000"/>
                <w:sz w:val="18"/>
                <w:szCs w:val="18"/>
              </w:rPr>
              <w:t>Rs 1,203</w:t>
            </w:r>
          </w:p>
        </w:tc>
        <w:tc>
          <w:tcPr>
            <w:tcW w:type="dxa" w:w="2500"/>
            <w:tcMar>
              <w:top w:type="dxa" w:w="60"/>
              <w:left w:type="dxa" w:w="100"/>
              <w:bottom w:type="dxa" w:w="60"/>
              <w:right w:type="dxa" w:w="100"/>
            </w:tcMar>
          </w:tcPr>
          <w:p>
            <w:pPr>
              <w:jc w:val="center"/>
            </w:pPr>
            <w:r>
              <w:rPr>
                <w:b w:val="false"/>
                <w:bCs w:val="false"/>
                <w:color w:val="000000"/>
                <w:sz w:val="18"/>
                <w:szCs w:val="18"/>
              </w:rPr>
              <w:t xml:space="preserve">Rs 1,515</w:t>
            </w:r>
          </w:p>
        </w:tc>
      </w:tr>
      <w:tr>
        <w:tc>
          <w:tcPr>
            <w:tcW w:type="dxa" w:w="4350"/>
            <w:shd w:fill="F2F2F2" w:val="clear"/>
            <w:tcMar>
              <w:top w:type="dxa" w:w="60"/>
              <w:left w:type="dxa" w:w="100"/>
              <w:bottom w:type="dxa" w:w="60"/>
              <w:right w:type="dxa" w:w="100"/>
            </w:tcMar>
          </w:tcPr>
          <w:p>
            <w:pPr>
              <w:jc w:val="left"/>
            </w:pPr>
            <w:r>
              <w:rPr>
                <w:b w:val="false"/>
                <w:bCs w:val="false"/>
                <w:color w:val="000000"/>
                <w:sz w:val="18"/>
                <w:szCs w:val="18"/>
              </w:rPr>
              <w:t xml:space="preserve">DCF — Bull</w:t>
            </w:r>
          </w:p>
        </w:tc>
        <w:tc>
          <w:tcPr>
            <w:tcW w:type="dxa" w:w="2500"/>
            <w:shd w:fill="F2F2F2" w:val="clear"/>
            <w:tcMar>
              <w:top w:type="dxa" w:w="60"/>
              <w:left w:type="dxa" w:w="100"/>
              <w:bottom w:type="dxa" w:w="60"/>
              <w:right w:type="dxa" w:w="100"/>
            </w:tcMar>
          </w:tcPr>
          <w:p>
            <w:r>
              <w:t>Rs 910</w:t>
            </w:r>
          </w:p>
        </w:tc>
        <w:tc>
          <w:tcPr>
            <w:tcW w:type="dxa" w:w="2500"/>
            <w:shd w:fill="F2F2F2" w:val="clear"/>
            <w:tcMar>
              <w:top w:type="dxa" w:w="60"/>
              <w:left w:type="dxa" w:w="100"/>
              <w:bottom w:type="dxa" w:w="60"/>
              <w:right w:type="dxa" w:w="100"/>
            </w:tcMar>
          </w:tcPr>
          <w:p>
            <w:r>
              <w:t>Rs 910</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DCF — Base (Legacy / Integrated)</w:t>
            </w:r>
          </w:p>
        </w:tc>
        <w:tc>
          <w:tcPr>
            <w:tcW w:type="dxa" w:w="2500"/>
            <w:tcMar>
              <w:top w:type="dxa" w:w="60"/>
              <w:left w:type="dxa" w:w="100"/>
              <w:bottom w:type="dxa" w:w="60"/>
              <w:right w:type="dxa" w:w="100"/>
            </w:tcMar>
          </w:tcPr>
          <w:p>
            <w:r>
              <w:t>Rs 796</w:t>
            </w:r>
          </w:p>
        </w:tc>
        <w:tc>
          <w:tcPr>
            <w:tcW w:type="dxa" w:w="2500"/>
            <w:tcMar>
              <w:top w:type="dxa" w:w="60"/>
              <w:left w:type="dxa" w:w="100"/>
              <w:bottom w:type="dxa" w:w="60"/>
              <w:right w:type="dxa" w:w="100"/>
            </w:tcMar>
          </w:tcPr>
          <w:p>
            <w:r>
              <w:t>Rs 796</w:t>
            </w:r>
          </w:p>
        </w:tc>
      </w:tr>
      <w:tr>
        <w:tc>
          <w:tcPr>
            <w:tcW w:type="dxa" w:w="4350"/>
            <w:shd w:fill="F2F2F2" w:val="clear"/>
            <w:tcMar>
              <w:top w:type="dxa" w:w="60"/>
              <w:left w:type="dxa" w:w="100"/>
              <w:bottom w:type="dxa" w:w="60"/>
              <w:right w:type="dxa" w:w="100"/>
            </w:tcMar>
          </w:tcPr>
          <w:p>
            <w:pPr>
              <w:jc w:val="left"/>
            </w:pPr>
            <w:r>
              <w:rPr>
                <w:b w:val="false"/>
                <w:bCs w:val="false"/>
                <w:color w:val="000000"/>
                <w:sz w:val="18"/>
                <w:szCs w:val="18"/>
              </w:rPr>
              <w:t xml:space="preserve">DCF — Bear</w:t>
            </w:r>
          </w:p>
        </w:tc>
        <w:tc>
          <w:tcPr>
            <w:tcW w:type="dxa" w:w="2500"/>
            <w:shd w:fill="F2F2F2" w:val="clear"/>
            <w:tcMar>
              <w:top w:type="dxa" w:w="60"/>
              <w:left w:type="dxa" w:w="100"/>
              <w:bottom w:type="dxa" w:w="60"/>
              <w:right w:type="dxa" w:w="100"/>
            </w:tcMar>
          </w:tcPr>
          <w:p>
            <w:r>
              <w:t>Rs 715</w:t>
            </w:r>
          </w:p>
        </w:tc>
        <w:tc>
          <w:tcPr>
            <w:tcW w:type="dxa" w:w="2500"/>
            <w:shd w:fill="F2F2F2" w:val="clear"/>
            <w:tcMar>
              <w:top w:type="dxa" w:w="60"/>
              <w:left w:type="dxa" w:w="100"/>
              <w:bottom w:type="dxa" w:w="60"/>
              <w:right w:type="dxa" w:w="100"/>
            </w:tcMar>
          </w:tcPr>
          <w:p>
            <w:r>
              <w:t>Rs 715</w:t>
            </w:r>
          </w:p>
        </w:tc>
      </w:tr>
      <w:tr>
        <w:tc>
          <w:tcPr>
            <w:tcW w:type="dxa" w:w="4350"/>
            <w:tcMar>
              <w:top w:type="dxa" w:w="60"/>
              <w:left w:type="dxa" w:w="100"/>
              <w:bottom w:type="dxa" w:w="60"/>
              <w:right w:type="dxa" w:w="100"/>
            </w:tcMar>
          </w:tcPr>
          <w:p>
            <w:pPr>
              <w:jc w:val="left"/>
            </w:pPr>
            <w:r>
              <w:rPr>
                <w:b w:val="false"/>
                <w:bCs w:val="false"/>
                <w:color w:val="000000"/>
                <w:sz w:val="18"/>
                <w:szCs w:val="18"/>
              </w:rPr>
              <w:t xml:space="preserve">52-Week Trading Range</w:t>
            </w:r>
          </w:p>
        </w:tc>
        <w:tc>
          <w:tcPr>
            <w:tcW w:type="dxa" w:w="2500"/>
            <w:tcMar>
              <w:top w:type="dxa" w:w="60"/>
              <w:left w:type="dxa" w:w="100"/>
              <w:bottom w:type="dxa" w:w="60"/>
              <w:right w:type="dxa" w:w="100"/>
            </w:tcMar>
          </w:tcPr>
          <w:p>
            <w:pPr>
              <w:jc w:val="center"/>
            </w:pPr>
            <w:r>
              <w:rPr>
                <w:b w:val="false"/>
                <w:bCs w:val="false"/>
                <w:color w:val="000000"/>
                <w:sz w:val="18"/>
                <w:szCs w:val="18"/>
              </w:rPr>
              <w:t xml:space="preserve">Rs 982</w:t>
            </w:r>
          </w:p>
        </w:tc>
        <w:tc>
          <w:tcPr>
            <w:tcW w:type="dxa" w:w="2500"/>
            <w:tcMar>
              <w:top w:type="dxa" w:w="60"/>
              <w:left w:type="dxa" w:w="100"/>
              <w:bottom w:type="dxa" w:w="60"/>
              <w:right w:type="dxa" w:w="100"/>
            </w:tcMar>
          </w:tcPr>
          <w:p>
            <w:pPr>
              <w:jc w:val="center"/>
            </w:pPr>
            <w:r>
              <w:rPr>
                <w:b w:val="false"/>
                <w:bCs w:val="false"/>
                <w:color w:val="000000"/>
                <w:sz w:val="18"/>
                <w:szCs w:val="18"/>
              </w:rPr>
              <w:t xml:space="preserve">Rs 1,728</w:t>
            </w:r>
          </w:p>
        </w:tc>
      </w:tr>
    </w:tbl>
    <w:p>
      <w:pPr>
        <w:spacing w:before="160"/>
      </w:pPr>
    </w:p>
    <w:p>
      <w:pPr>
        <w:spacing w:after="140" w:line="276"/>
        <w:jc w:val="both"/>
      </w:pPr>
      <w:r>
        <w:rPr>
          <w:sz w:val="21"/>
          <w:szCs w:val="21"/>
        </w:rPr>
        <w:t>Current price (Rs 1,121) sits above the DCF base case and above the DCF bull case, and below the entire core-peer range. We set the indicative target price at Rs 1,037 — 60% weight on the DCF (Rs 796) and 40% weight on the core-peer EV/EBITDA value (Rs 1,399), the multiple we weight most heavily among the comps because IT services valuations move on the margin by EV/EBITDA re-rating. That blend implies roughly 7.5% downside, which is why this is a Hold/Neutral rather than an Accumulate or Sell: the DCF's cash-flow economics say the stock is priced for more growth than FY27 guidance supports, while the peer discount says the market hasn't fully written off a re-rating either. A higher-conviction call in either direction would need either a sustained growth recovery that closes the gap to core peers, or confirmation that Infosys's own guided cash-flow trajectory is as soft as the DCF assumes.</w:t>
      </w:r>
    </w:p>
    <w:p>
      <w:pPr>
        <w:pStyle w:val="Heading1"/>
        <w:pBdr>
          <w:bottom w:val="single" w:color="1F3864" w:sz="6" w:space="2"/>
        </w:pBdr>
        <w:spacing w:after="120" w:before="280"/>
      </w:pPr>
      <w:r>
        <w:rPr>
          <w:b/>
          <w:bCs/>
          <w:color w:val="1F3864"/>
          <w:sz w:val="26"/>
          <w:szCs w:val="26"/>
        </w:rPr>
        <w:t xml:space="preserve">Key Risks</w:t>
      </w:r>
    </w:p>
    <w:p>
      <w:pPr>
        <w:pStyle w:val="ListParagraph"/>
        <w:numPr>
          <w:ilvl w:val="0"/>
          <w:numId w:val="2"/>
        </w:numPr>
        <w:spacing w:after="80" w:line="270"/>
      </w:pPr>
      <w:r>
        <w:rPr>
          <w:sz w:val="21"/>
          <w:szCs w:val="21"/>
        </w:rPr>
        <w:t>Valuation risk is now the primary issue rather than an unresolved modelling gap: the DCF (Rs 796/share) sits meaningfully below the current price (Rs 1,121). The corporate/unallocable cost bridge means the previous 23.7% vs 20.8% segment-margin discrepancy is explained, not just flagged.</w:t>
      </w:r>
    </w:p>
    <w:p>
      <w:pPr>
        <w:pStyle w:val="ListParagraph"/>
        <w:numPr>
          <w:ilvl w:val="0"/>
          <w:numId w:val="2"/>
        </w:numPr>
        <w:spacing w:after="80" w:line="270"/>
      </w:pPr>
      <w:r>
        <w:rPr>
          <w:sz w:val="21"/>
          <w:szCs w:val="21"/>
        </w:rPr>
        <w:t xml:space="preserve">AI-driven disintermediation of traditional application development and maintenance billing — the same AI capability Infosys sells as growth could compress the legacy project-work fee pool industry-wide, which would also erode the core-peer multiples this note's comps valuation leans on.</w:t>
      </w:r>
    </w:p>
    <w:p>
      <w:pPr>
        <w:pStyle w:val="ListParagraph"/>
        <w:numPr>
          <w:ilvl w:val="0"/>
          <w:numId w:val="2"/>
        </w:numPr>
        <w:spacing w:after="80" w:line="270"/>
      </w:pPr>
      <w:r>
        <w:rPr>
          <w:sz w:val="21"/>
          <w:szCs w:val="21"/>
        </w:rPr>
        <w:t xml:space="preserve">A specific European manufacturing-client headwind is expected to weigh roughly 75–100bps on FY27 overall revenue growth.</w:t>
      </w:r>
    </w:p>
    <w:p>
      <w:pPr>
        <w:pStyle w:val="ListParagraph"/>
        <w:numPr>
          <w:ilvl w:val="0"/>
          <w:numId w:val="2"/>
        </w:numPr>
        <w:spacing w:after="80" w:line="270"/>
      </w:pPr>
      <w:r>
        <w:rPr>
          <w:sz w:val="21"/>
          <w:szCs w:val="21"/>
        </w:rPr>
        <w:t xml:space="preserve">Continued softness in discretionary US/Europe enterprise spending, which drives project-based (not run-the-business) revenue.</w:t>
      </w:r>
    </w:p>
    <w:p>
      <w:pPr>
        <w:pStyle w:val="ListParagraph"/>
        <w:numPr>
          <w:ilvl w:val="0"/>
          <w:numId w:val="2"/>
        </w:numPr>
        <w:spacing w:after="80" w:line="270"/>
      </w:pPr>
      <w:r>
        <w:rPr>
          <w:sz w:val="21"/>
          <w:szCs w:val="21"/>
        </w:rPr>
        <w:t xml:space="preserve">Wage inflation and competitive pricing pressure on new deals as AI-enabled automation resets client cost expectations.</w:t>
      </w:r>
    </w:p>
    <w:p>
      <w:pPr>
        <w:pStyle w:val="ListParagraph"/>
        <w:numPr>
          <w:ilvl w:val="0"/>
          <w:numId w:val="2"/>
        </w:numPr>
        <w:spacing w:after="80" w:line="270"/>
      </w:pPr>
      <w:r>
        <w:rPr>
          <w:sz w:val="21"/>
          <w:szCs w:val="21"/>
        </w:rPr>
        <w:t xml:space="preserve">A further guidance cut, or margin slipping below the 20% floor, would remove both legs of the current thesis at once.</w:t>
      </w:r>
    </w:p>
    <w:p>
      <w:pPr>
        <w:pStyle w:val="Heading1"/>
        <w:pBdr>
          <w:bottom w:val="single" w:color="1F3864" w:sz="6" w:space="2"/>
        </w:pBdr>
        <w:spacing w:after="120" w:before="280"/>
      </w:pPr>
      <w:r>
        <w:rPr>
          <w:b/>
          <w:bCs/>
          <w:color w:val="1F3864"/>
          <w:sz w:val="26"/>
          <w:szCs w:val="26"/>
        </w:rPr>
        <w:t xml:space="preserve">Catalysts</w:t>
      </w:r>
    </w:p>
    <w:p>
      <w:pPr>
        <w:pStyle w:val="ListParagraph"/>
        <w:numPr>
          <w:ilvl w:val="0"/>
          <w:numId w:val="2"/>
        </w:numPr>
        <w:spacing w:after="80" w:line="270"/>
      </w:pPr>
      <w:r>
        <w:rPr>
          <w:sz w:val="21"/>
          <w:szCs w:val="21"/>
        </w:rPr>
        <w:t xml:space="preserve">Next quarterly guidance commentary (expected ~October 2026) — an upward revision to the FY27 range would be the clearest signal the deceleration is bottoming.</w:t>
      </w:r>
    </w:p>
    <w:p>
      <w:pPr>
        <w:pStyle w:val="ListParagraph"/>
        <w:numPr>
          <w:ilvl w:val="0"/>
          <w:numId w:val="2"/>
        </w:numPr>
        <w:spacing w:after="80" w:line="270"/>
      </w:pPr>
      <w:r>
        <w:rPr>
          <w:sz w:val="21"/>
          <w:szCs w:val="21"/>
        </w:rPr>
        <w:t xml:space="preserve">Continued high net-new percentage in large-deal TCV, evidencing genuine market-share gains rather than renewal-driven revenue.</w:t>
      </w:r>
    </w:p>
    <w:p>
      <w:pPr>
        <w:pStyle w:val="ListParagraph"/>
        <w:numPr>
          <w:ilvl w:val="0"/>
          <w:numId w:val="2"/>
        </w:numPr>
        <w:spacing w:after="80" w:line="270"/>
      </w:pPr>
      <w:r>
        <w:rPr>
          <w:sz w:val="21"/>
          <w:szCs w:val="21"/>
        </w:rPr>
        <w:t xml:space="preserve">AI-linked revenue mix moving further past its current single-digit share of total revenue.</w:t>
      </w:r>
    </w:p>
    <w:p>
      <w:pPr>
        <w:pStyle w:val="ListParagraph"/>
        <w:numPr>
          <w:ilvl w:val="0"/>
          <w:numId w:val="2"/>
        </w:numPr>
        <w:spacing w:after="80" w:line="270"/>
      </w:pPr>
      <w:r>
        <w:rPr>
          <w:sz w:val="21"/>
          <w:szCs w:val="21"/>
        </w:rPr>
        <w:t xml:space="preserve">Any re-rating toward Infosys's own historical median P/E (22.7x, vs. 15.0x today) or toward the peer-group median, as growth visibility improves.</w:t>
      </w:r>
    </w:p>
    <w:p>
      <w:pPr>
        <w:spacing w:before="300"/>
      </w:pPr>
    </w:p>
    <w:p>
      <w:pPr>
        <w:spacing w:after="160" w:line="260"/>
      </w:pPr>
      <w:r>
        <w:t>Sources: Company filings and press releases (FY26 and Q1 FY27 results, FY27 guidance), Screener.in (peer financial and market data), Trendlyne (historical P/E and Nifty 50 dividend-yield reference), NSE Indices/Nifty 50 historical index data (calendar-year price returns, 2000–2025), and Moneycontrol market data for the 10-year benchmark G-Sec yield used as the 6.77% risk-free rate. Valuation model: author's own DCF and comparable-company analysis. This note is a self-directed research exercise prepared for portfolio purposes and does not constitute investment advice.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2026-08-25T11:50:20.860Z</dcterms:created>
  <dcterms:modified xsi:type="dcterms:W3CDTF">2026-08-25T11:50:20.870Z</dcterms:modified>
</cp:coreProperties>
</file>

<file path=docProps/custom.xml><?xml version="1.0" encoding="utf-8"?>
<Properties xmlns="http://schemas.openxmlformats.org/officeDocument/2006/custom-properties" xmlns:vt="http://schemas.openxmlformats.org/officeDocument/2006/docPropsVTypes"/>
</file>