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4338CA"/>
          <w:sz w:val="44"/>
        </w:rPr>
        <w:t>KENZO ONEERP (KORE) - ARCHITECTURE &amp; DIAGRAMS HANDBOOK</w:t>
      </w:r>
    </w:p>
    <w:p>
      <w:pPr>
        <w:spacing w:after="360"/>
        <w:jc w:val="center"/>
      </w:pPr>
      <w:r>
        <w:rPr>
          <w:rFonts w:ascii="Calibri" w:hAnsi="Calibri"/>
          <w:color w:val="64748B"/>
          <w:sz w:val="24"/>
        </w:rPr>
        <w:t>Complete Collection of Visual System Architecture, DFD Level 1, ERD Schema, RBAC Pyramid, and Theme Engine Diagrams</w:t>
      </w:r>
    </w:p>
    <w:p>
      <w:pPr>
        <w:spacing w:before="320" w:after="80"/>
      </w:pPr>
      <w:r>
        <w:rPr>
          <w:rFonts w:ascii="Segoe UI" w:hAnsi="Segoe UI"/>
          <w:b/>
          <w:color w:val="0284C7"/>
          <w:sz w:val="28"/>
        </w:rPr>
        <w:t>1. Full-Stack System Architecture Diagram</w:t>
      </w:r>
    </w:p>
    <w:p>
      <w:pPr>
        <w:spacing w:after="160"/>
      </w:pPr>
      <w:r>
        <w:rPr>
          <w:rFonts w:ascii="Calibri" w:hAnsi="Calibri"/>
          <w:color w:val="334155"/>
          <w:sz w:val="22"/>
        </w:rPr>
        <w:t>Explains the end-to-end data flow from Client Browser -&gt; Next.js App Router -&gt; Session Auth -&gt; Prisma ORM -&gt; Neon PostgreSQL DB &amp; Cloudinary CDN.</w:t>
      </w:r>
    </w:p>
    <w:p>
      <w:r>
        <w:drawing>
          <wp:inline xmlns:a="http://schemas.openxmlformats.org/drawingml/2006/main" xmlns:pic="http://schemas.openxmlformats.org/drawingml/2006/picture">
            <wp:extent cx="5669280" cy="33786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</w:p>
    <w:p>
      <w:pPr>
        <w:spacing w:before="320" w:after="80"/>
      </w:pPr>
      <w:r>
        <w:rPr>
          <w:rFonts w:ascii="Segoe UI" w:hAnsi="Segoe UI"/>
          <w:b/>
          <w:color w:val="0284C7"/>
          <w:sz w:val="28"/>
        </w:rPr>
        <w:t>2. Data Flow Diagram (DFD Level 1)</w:t>
      </w:r>
    </w:p>
    <w:p>
      <w:pPr>
        <w:spacing w:after="160"/>
      </w:pPr>
      <w:r>
        <w:rPr>
          <w:rFonts w:ascii="Calibri" w:hAnsi="Calibri"/>
          <w:color w:val="334155"/>
          <w:sz w:val="22"/>
        </w:rPr>
        <w:t>Illustrates the real-time submission of leave applications, database write locks, and real-time polling/notifications on Admin/CEO/HR dashboards.</w:t>
      </w:r>
    </w:p>
    <w:p>
      <w:r>
        <w:drawing>
          <wp:inline xmlns:a="http://schemas.openxmlformats.org/drawingml/2006/main" xmlns:pic="http://schemas.openxmlformats.org/drawingml/2006/picture">
            <wp:extent cx="5669280" cy="29303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0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</w:p>
    <w:p>
      <w:pPr>
        <w:spacing w:before="320" w:after="80"/>
      </w:pPr>
      <w:r>
        <w:rPr>
          <w:rFonts w:ascii="Segoe UI" w:hAnsi="Segoe UI"/>
          <w:b/>
          <w:color w:val="0284C7"/>
          <w:sz w:val="28"/>
        </w:rPr>
        <w:t>3. Leave State Lifecycle &amp; Isolation Workflow</w:t>
      </w:r>
    </w:p>
    <w:p>
      <w:pPr>
        <w:spacing w:after="160"/>
      </w:pPr>
      <w:r>
        <w:rPr>
          <w:rFonts w:ascii="Calibri" w:hAnsi="Calibri"/>
          <w:color w:val="334155"/>
          <w:sz w:val="22"/>
        </w:rPr>
        <w:t>Details the 4-step leave lifecycle: Employee submission, tenant-scoped PENDING status, role-based visibility filter, and APPROVED/REJECTED status update.</w:t>
      </w:r>
    </w:p>
    <w:p>
      <w:r>
        <w:drawing>
          <wp:inline xmlns:a="http://schemas.openxmlformats.org/drawingml/2006/main" xmlns:pic="http://schemas.openxmlformats.org/drawingml/2006/picture">
            <wp:extent cx="5669280" cy="24842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ve_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84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</w:p>
    <w:p>
      <w:pPr>
        <w:spacing w:before="320" w:after="80"/>
      </w:pPr>
      <w:r>
        <w:rPr>
          <w:rFonts w:ascii="Segoe UI" w:hAnsi="Segoe UI"/>
          <w:b/>
          <w:color w:val="0284C7"/>
          <w:sz w:val="28"/>
        </w:rPr>
        <w:t>4. Database Entity Relationship Diagram (ERD)</w:t>
      </w:r>
    </w:p>
    <w:p>
      <w:pPr>
        <w:spacing w:after="160"/>
      </w:pPr>
      <w:r>
        <w:rPr>
          <w:rFonts w:ascii="Calibri" w:hAnsi="Calibri"/>
          <w:color w:val="334155"/>
          <w:sz w:val="22"/>
        </w:rPr>
        <w:t>Visualizes Prisma ORM relational database models: Tenant, User, Employee, Attendance, Leave, Project, Task, Invoice, Expense.</w:t>
      </w:r>
    </w:p>
    <w:p>
      <w:r>
        <w:drawing>
          <wp:inline xmlns:a="http://schemas.openxmlformats.org/drawingml/2006/main" xmlns:pic="http://schemas.openxmlformats.org/drawingml/2006/picture">
            <wp:extent cx="5669280" cy="337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</w:p>
    <w:p>
      <w:pPr>
        <w:spacing w:before="320" w:after="80"/>
      </w:pPr>
      <w:r>
        <w:rPr>
          <w:rFonts w:ascii="Segoe UI" w:hAnsi="Segoe UI"/>
          <w:b/>
          <w:color w:val="0284C7"/>
          <w:sz w:val="28"/>
        </w:rPr>
        <w:t>5. Role-Based Access Control (RBAC) Hierarchy</w:t>
      </w:r>
    </w:p>
    <w:p>
      <w:pPr>
        <w:spacing w:after="160"/>
      </w:pPr>
      <w:r>
        <w:rPr>
          <w:rFonts w:ascii="Calibri" w:hAnsi="Calibri"/>
          <w:color w:val="334155"/>
          <w:sz w:val="22"/>
        </w:rPr>
        <w:t>Pyramid breakdown of user roles from SUPER_ADMIN &amp; COMPANY_ADMIN down to CEO/CTO, HR/FINANCE, and DEVELOPER/EMPLOYEE levels.</w:t>
      </w:r>
    </w:p>
    <w:p>
      <w:r>
        <w:drawing>
          <wp:inline xmlns:a="http://schemas.openxmlformats.org/drawingml/2006/main" xmlns:pic="http://schemas.openxmlformats.org/drawingml/2006/picture">
            <wp:extent cx="5669280" cy="35163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bac_hierarch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16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</w:p>
    <w:p>
      <w:pPr>
        <w:spacing w:before="320" w:after="80"/>
      </w:pPr>
      <w:r>
        <w:rPr>
          <w:rFonts w:ascii="Segoe UI" w:hAnsi="Segoe UI"/>
          <w:b/>
          <w:color w:val="0284C7"/>
          <w:sz w:val="28"/>
        </w:rPr>
        <w:t>6. Theme Engine &amp; Text Contrast Architecture</w:t>
      </w:r>
    </w:p>
    <w:p>
      <w:pPr>
        <w:spacing w:after="160"/>
      </w:pPr>
      <w:r>
        <w:rPr>
          <w:rFonts w:ascii="Calibri" w:hAnsi="Calibri"/>
          <w:color w:val="334155"/>
          <w:sz w:val="22"/>
        </w:rPr>
        <w:t>Shows how CSS contrast variables manage Light Mode (#0f172a text) vs Dark Mode (#ffffff text) and fixed modal styling (.profile-modal-dark).</w:t>
      </w:r>
    </w:p>
    <w:p>
      <w:r>
        <w:drawing>
          <wp:inline xmlns:a="http://schemas.openxmlformats.org/drawingml/2006/main" xmlns:pic="http://schemas.openxmlformats.org/drawingml/2006/picture">
            <wp:extent cx="5669280" cy="27987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me_eng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8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