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Metric on validation dataset of ‘COLING_2025’ metric being F1 score (macro) on 1000 observations</w:t>
      </w:r>
    </w:p>
    <w:tbl>
      <w:tblPr>
        <w:tblStyle w:val="Table1"/>
        <w:tblW w:w="961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860"/>
        <w:gridCol w:w="1860"/>
        <w:gridCol w:w="1860"/>
        <w:gridCol w:w="1860"/>
        <w:tblGridChange w:id="0">
          <w:tblGrid>
            <w:gridCol w:w="2175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b7b7b7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b7b7b7" w:val="clear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b7b7b7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b7b7b7" w:val="clear"/>
                <w:rtl w:val="0"/>
              </w:rPr>
              <w:t xml:space="preserve">gpt-4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b7b7b7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b7b7b7" w:val="clear"/>
                <w:rtl w:val="0"/>
              </w:rPr>
              <w:t xml:space="preserve">cohere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b7b7b7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b7b7b7" w:val="clear"/>
                <w:rtl w:val="0"/>
              </w:rPr>
              <w:t xml:space="preserve">mixtral-8x7b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b7b7b7" w:val="clear"/>
              </w:rPr>
            </w:pPr>
            <w:r w:rsidDel="00000000" w:rsidR="00000000" w:rsidRPr="00000000">
              <w:rPr>
                <w:b w:val="1"/>
                <w:color w:val="e3e3e3"/>
                <w:sz w:val="21"/>
                <w:szCs w:val="21"/>
                <w:shd w:fill="383838" w:val="clear"/>
                <w:rtl w:val="0"/>
              </w:rPr>
              <w:t xml:space="preserve">gpt-3.5-turbo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Deberta-v3-large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e1f5fe" w:val="clear"/>
                <w:rtl w:val="0"/>
              </w:rPr>
              <w:t xml:space="preserve">1.00000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e1f5fe" w:val="clear"/>
                <w:rtl w:val="0"/>
              </w:rPr>
              <w:t xml:space="preserve">1.00000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e1f5fe" w:val="clear"/>
                <w:rtl w:val="0"/>
              </w:rPr>
              <w:t xml:space="preserve">1.00000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e1f5fe" w:val="clear"/>
                <w:rtl w:val="0"/>
              </w:rPr>
              <w:t xml:space="preserve">1.00000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