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PMO Weekly Update: Project Apex ERP Transformation</w:t>
      </w:r>
    </w:p>
    <w:p>
      <w:pPr>
        <w:pStyle w:val="Heading2"/>
      </w:pPr>
      <w:r>
        <w:t>1. Executive Summary</w:t>
      </w:r>
    </w:p>
    <w:p>
      <w:r>
        <w:t>Project Apex ERP Transformation is currently at yellow status due to delays in third-party API integrations. The core ledger customization is 90% complete, and data migration testing for Phase 1 has reached 85% success rate. However, external middleware delivery by partner VendorX is 3 weeks overdue, impacting the downstream testing schedule.</w:t>
      </w:r>
    </w:p>
    <w:p>
      <w:pPr>
        <w:pStyle w:val="Heading2"/>
      </w:pPr>
      <w:r>
        <w:t>2. Key Milestones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Target Date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Core Customization</w:t>
            </w:r>
          </w:p>
        </w:tc>
        <w:tc>
          <w:tcPr>
            <w:tcW w:type="dxa" w:w="2880"/>
          </w:tcPr>
          <w:p>
            <w:r>
              <w:t>2026-05-15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Middleware Integration</w:t>
            </w:r>
          </w:p>
        </w:tc>
        <w:tc>
          <w:tcPr>
            <w:tcW w:type="dxa" w:w="2880"/>
          </w:tcPr>
          <w:p>
            <w:r>
              <w:t>2026-06-01</w:t>
            </w:r>
          </w:p>
        </w:tc>
        <w:tc>
          <w:tcPr>
            <w:tcW w:type="dxa" w:w="2880"/>
          </w:tcPr>
          <w:p>
            <w:r>
              <w:t>Delayed</w:t>
            </w:r>
          </w:p>
        </w:tc>
      </w:tr>
      <w:tr>
        <w:tc>
          <w:tcPr>
            <w:tcW w:type="dxa" w:w="2880"/>
          </w:tcPr>
          <w:p>
            <w:r>
              <w:t>UAT Phase 1</w:t>
            </w:r>
          </w:p>
        </w:tc>
        <w:tc>
          <w:tcPr>
            <w:tcW w:type="dxa" w:w="2880"/>
          </w:tcPr>
          <w:p>
            <w:r>
              <w:t>2026-06-15</w:t>
            </w:r>
          </w:p>
        </w:tc>
        <w:tc>
          <w:tcPr>
            <w:tcW w:type="dxa" w:w="2880"/>
          </w:tcPr>
          <w:p>
            <w:r>
              <w:t>At Risk</w:t>
            </w:r>
          </w:p>
        </w:tc>
      </w:tr>
    </w:tbl>
    <w:p>
      <w:pPr>
        <w:pStyle w:val="Heading2"/>
      </w:pPr>
      <w:r>
        <w:t>3. Risks, Actions, Issues, and Dependencies (RAID)</w:t>
      </w:r>
    </w:p>
    <w:p>
      <w:r>
        <w:t>We are tracking several items that require immediate attention from the leadership team:</w:t>
      </w:r>
    </w:p>
    <w:p>
      <w:r>
        <w:t>RISK: Late API delivery from VendorX. Due to resource constraints at VendorX, the API endpoints for inventory sync are delayed. Impact: High. Mitigation: Daily standups with VendorX and preparation of stub services.</w:t>
      </w:r>
    </w:p>
    <w:p>
      <w:r>
        <w:t>ISSUE: Test environment database crash. The QA database instance crashed on Friday, causing 2 days of UAT downtime. Status: Resolved. Action taken: Restored from backup and increased DB storage allocation.</w:t>
      </w:r>
    </w:p>
    <w:p>
      <w:r>
        <w:t>DEPENDENCY: Database schema freeze by DB Admin team. We cannot finalize the API mappings until the DB schema is frozen by the infrastructure team. Due Date: 2026-05-30.</w:t>
      </w:r>
    </w:p>
    <w:p>
      <w:pPr>
        <w:pStyle w:val="Heading2"/>
      </w:pPr>
      <w:r>
        <w:t>4. Escalations</w:t>
      </w:r>
    </w:p>
    <w:p>
      <w:r>
        <w:t>ESCALATION: VendorX SLA breach on Phase 2 deliverables. VendorX has missed their third consecutive delivery checkpoint. We request formal contract penalty clause execution and escalation of this issue. Routing Target: Steering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