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62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Accepted at AAAI 2024 Workshop on Synergy of Reinforcement Learning and Large Language Models</w:t>
      </w:r>
    </w:p>
    <w:p>
      <w:pPr>
        <w:autoSpaceDN w:val="0"/>
        <w:autoSpaceDE w:val="0"/>
        <w:widowControl/>
        <w:spacing w:line="374" w:lineRule="exact" w:before="598" w:after="0"/>
        <w:ind w:left="1778" w:right="0" w:firstLine="0"/>
        <w:jc w:val="left"/>
      </w:pPr>
      <w:r>
        <w:rPr>
          <w:w w:val="98.93931027116447"/>
          <w:rFonts w:ascii="NimbusRomNo9L" w:hAnsi="NimbusRomNo9L" w:eastAsia="NimbusRomNo9L"/>
          <w:b/>
          <w:i w:val="0"/>
          <w:color w:val="000000"/>
          <w:sz w:val="29"/>
        </w:rPr>
        <w:t>Reinforcement Learning for Optimizing RAG for Domain Chatbots</w:t>
      </w:r>
    </w:p>
    <w:p>
      <w:pPr>
        <w:autoSpaceDN w:val="0"/>
        <w:autoSpaceDE w:val="0"/>
        <w:widowControl/>
        <w:spacing w:line="312" w:lineRule="exact" w:before="294" w:after="0"/>
        <w:ind w:left="2414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Mandar Kulkarni, Praveen Tangarajan, Kyung Kim, Anusua Trivedi</w:t>
      </w:r>
    </w:p>
    <w:p>
      <w:pPr>
        <w:autoSpaceDN w:val="0"/>
        <w:autoSpaceDE w:val="0"/>
        <w:widowControl/>
        <w:spacing w:line="240" w:lineRule="exact" w:before="94" w:after="0"/>
        <w:ind w:left="0" w:right="4200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Flipkart Data Science</w:t>
      </w:r>
    </w:p>
    <w:p>
      <w:pPr>
        <w:autoSpaceDN w:val="0"/>
        <w:autoSpaceDE w:val="0"/>
        <w:widowControl/>
        <w:spacing w:line="240" w:lineRule="exact" w:before="0" w:after="834"/>
        <w:ind w:left="0" w:right="4020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Seattle, Washington, USA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55"/>
        <w:gridCol w:w="3655"/>
        <w:gridCol w:w="3655"/>
      </w:tblGrid>
      <w:tr>
        <w:trPr>
          <w:trHeight w:hRule="exact" w:val="302"/>
        </w:trPr>
        <w:tc>
          <w:tcPr>
            <w:tcW w:type="dxa" w:w="858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919191"/>
                <w:sz w:val="40"/>
              </w:rPr>
              <w:t>arXiv:2401.06800v1  [cs.CL]  10 Jan 2024</w:t>
            </w:r>
          </w:p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0" w:right="2284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Abstract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have become good at contextual question-answering tasks,</w:t>
            </w:r>
          </w:p>
        </w:tc>
      </w:tr>
      <w:tr>
        <w:trPr>
          <w:trHeight w:hRule="exact" w:val="21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94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With the advent of Large Language Models (LLM), conversa-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i.e., given a relevant text as a context, LLMs can generate</w:t>
            </w:r>
          </w:p>
        </w:tc>
      </w:tr>
      <w:tr>
        <w:trPr>
          <w:trHeight w:hRule="exact" w:val="10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answers to questions using that information. Retrieval Aug-</w:t>
            </w:r>
          </w:p>
        </w:tc>
      </w:tr>
      <w:tr>
        <w:trPr>
          <w:trHeight w:hRule="exact" w:val="12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tional assistants have become prevalent for domain use cases.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mented Generation (RAG) is one of the key techniques used</w:t>
            </w:r>
          </w:p>
        </w:tc>
      </w:tr>
      <w:tr>
        <w:trPr>
          <w:trHeight w:hRule="exact" w:val="14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LLMs acquire the ability to contextual question answering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 build chatbots for answering questions on domain data.</w:t>
            </w:r>
          </w:p>
        </w:tc>
      </w:tr>
      <w:tr>
        <w:trPr>
          <w:trHeight w:hRule="exact" w:val="18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through extensive training, and Retrieval Augmented Genera-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tion (RAG) further enables the bot to answer domain-specific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RAG consists of two components: a retrieval model and</w:t>
            </w:r>
          </w:p>
        </w:tc>
      </w:tr>
      <w:tr>
        <w:trPr>
          <w:trHeight w:hRule="exact" w:val="213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questions. This paper describes a RAG-based approach for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 answer generation model based on LLM. The retrieval</w:t>
            </w:r>
          </w:p>
        </w:tc>
      </w:tr>
      <w:tr>
        <w:trPr>
          <w:trHeight w:hRule="exact" w:val="206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building a chatbot that answers user’s queries using Fre-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model fetches context relevant to the user’s query. The query</w:t>
            </w:r>
          </w:p>
        </w:tc>
      </w:tr>
      <w:tr>
        <w:trPr>
          <w:trHeight w:hRule="exact" w:val="21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quently Asked Questions (FAQ) data. We train an in-house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and the retrieved context are then inputted to the LLM with</w:t>
            </w:r>
          </w:p>
        </w:tc>
      </w:tr>
      <w:tr>
        <w:trPr>
          <w:trHeight w:hRule="exact" w:val="181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retrieval embedding model using infoNCE loss, and exper-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appropriate prompt to generate the answer. Though in-</w:t>
            </w:r>
          </w:p>
        </w:tc>
      </w:tr>
      <w:tr>
        <w:trPr>
          <w:trHeight w:hRule="exact" w:val="5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imental results demonstrate that the in-house model works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tuitive to understand, RAG-based chatbots have a few chal-</w:t>
            </w:r>
          </w:p>
        </w:tc>
      </w:tr>
      <w:tr>
        <w:trPr>
          <w:trHeight w:hRule="exact" w:val="7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significantly better than the well-known general-purpose pub-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lenges from a practical standpoint.</w:t>
            </w:r>
          </w:p>
        </w:tc>
      </w:tr>
      <w:tr>
        <w:trPr>
          <w:trHeight w:hRule="exact" w:val="191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lic embedding model, both in terms of retrieval accuracy and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Out-of-Domain (OOD) query detection. As an LLM, we use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8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1. If a retrieval model fails to fetch relevant context, the gen-</w:t>
            </w:r>
          </w:p>
        </w:tc>
      </w:tr>
      <w:tr>
        <w:trPr>
          <w:trHeight w:hRule="exact" w:val="209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an open API-based paid ChatGPT (gpt-35-turbo-16k-0613)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erated answer would be incorrect and uninformative. The</w:t>
            </w:r>
          </w:p>
        </w:tc>
      </w:tr>
      <w:tr>
        <w:trPr>
          <w:trHeight w:hRule="exact" w:val="179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model. We noticed that a previously retrieved-context could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retrieval is more challenging for non-English queries,</w:t>
            </w:r>
          </w:p>
        </w:tc>
      </w:tr>
      <w:tr>
        <w:trPr>
          <w:trHeight w:hRule="exact" w:val="6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be used to generate an answer for specific patterns/sequences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e.g., code-mix Hinglish.</w:t>
            </w:r>
          </w:p>
        </w:tc>
      </w:tr>
      <w:tr>
        <w:trPr>
          <w:trHeight w:hRule="exact" w:val="10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of queries (e.g., follow-up queries). Hence, there is a scope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8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2. For paid API-based LLMs (e.g., ChatGPT), the cost per</w:t>
            </w:r>
          </w:p>
        </w:tc>
      </w:tr>
      <w:tr>
        <w:trPr>
          <w:trHeight w:hRule="exact" w:val="14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to optimize the number of LLM tokens and cost. Assuming a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call is calculated based on the number of input and out-</w:t>
            </w:r>
          </w:p>
        </w:tc>
      </w:tr>
      <w:tr>
        <w:trPr>
          <w:trHeight w:hRule="exact" w:val="18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fixed retrieval model and an LLM, we optimize the number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of LLM tokens using Reinforcement Learning (RL). Specifi-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put tokens. A large number of tokens passed in a context</w:t>
            </w:r>
          </w:p>
        </w:tc>
      </w:tr>
      <w:tr>
        <w:trPr>
          <w:trHeight w:hRule="exact" w:val="21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cally, we propose a policy-based model external to the RAG,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leads to a higher cost per API call. With a high volume</w:t>
            </w:r>
          </w:p>
        </w:tc>
      </w:tr>
      <w:tr>
        <w:trPr>
          <w:trHeight w:hRule="exact" w:val="194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which interacts with the RAG pipeline through policy actions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of user queries, the cost can become significant.</w:t>
            </w:r>
          </w:p>
        </w:tc>
      </w:tr>
      <w:tr>
        <w:trPr>
          <w:trHeight w:hRule="exact" w:val="5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and updates the policy to optimize the cost. The policy model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28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3. To enable multi-turn conversations with RAG, a conver-</w:t>
            </w:r>
          </w:p>
        </w:tc>
      </w:tr>
      <w:tr>
        <w:trPr>
          <w:trHeight w:hRule="exact" w:val="104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can perform two actions: to fetch FAQ context or skip re-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sation history needs to be maintained and passed to the</w:t>
            </w:r>
          </w:p>
        </w:tc>
      </w:tr>
      <w:tr>
        <w:trPr>
          <w:trHeight w:hRule="exact" w:val="126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trieval. We use the open API-based GPT-4 as the evaluation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LLM with every query. It is known that a larger input to-</w:t>
            </w:r>
          </w:p>
        </w:tc>
      </w:tr>
      <w:tr>
        <w:trPr>
          <w:trHeight w:hRule="exact" w:val="15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model, which rates the quality of the bot answer. Using an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ken size leads to a drop in accuracy or hallucinations as</w:t>
            </w:r>
          </w:p>
        </w:tc>
      </w:tr>
      <w:tr>
        <w:trPr>
          <w:trHeight w:hRule="exact" w:val="18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appropriate reward shaping, GPT-4 ratings are converted to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 numeric reward. We then train a policy model using pol-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LLMs have an additional task of choosing relevant infor-</w:t>
            </w:r>
          </w:p>
        </w:tc>
      </w:tr>
      <w:tr>
        <w:trPr>
          <w:trHeight w:hRule="exact" w:val="20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icy gradient on multiple training chat sessions. As a pol-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mation from a large context (Liu et al. 2023a).</w:t>
            </w:r>
          </w:p>
        </w:tc>
      </w:tr>
      <w:tr>
        <w:trPr>
          <w:trHeight w:hRule="exact" w:val="66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icy model, we experimented with a public gpt-2 model and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4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 this paper, we first describe a RAG-based approach for</w:t>
            </w:r>
          </w:p>
        </w:tc>
      </w:tr>
      <w:tr>
        <w:trPr>
          <w:trHeight w:hRule="exact" w:val="13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an in-house BERT model. With the proposed RL-based op-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building a chatbot that answers user’s queries using Fre-</w:t>
            </w:r>
          </w:p>
        </w:tc>
      </w:tr>
      <w:tr>
        <w:trPr>
          <w:trHeight w:hRule="exact" w:val="156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timization combined with similarity threshold, we are able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quently Asked Questions (FAQ) data. We have a domain</w:t>
            </w:r>
          </w:p>
        </w:tc>
      </w:tr>
      <w:tr>
        <w:trPr>
          <w:trHeight w:hRule="exact" w:val="18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to achieve significant (~31%) cost savings while getting a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slightly improved accuracy. Though we demonstrate results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FAQ dataset consisting of 72 FAQs regarding the credit</w:t>
            </w:r>
          </w:p>
        </w:tc>
      </w:tr>
      <w:tr>
        <w:trPr>
          <w:trHeight w:hRule="exact" w:val="20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for the FAQ chatbot, the proposed RL approach is generic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card application process. The FAQ dataset is prepared to an-</w:t>
            </w:r>
          </w:p>
        </w:tc>
      </w:tr>
      <w:tr>
        <w:trPr>
          <w:trHeight w:hRule="exact" w:val="219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and can be experimented with any existing RAG pipeline.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swer user queries regarding general card information pre-</w:t>
            </w:r>
          </w:p>
        </w:tc>
      </w:tr>
      <w:tr>
        <w:trPr>
          <w:trHeight w:hRule="exact" w:val="227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42" w:after="0"/>
              <w:ind w:left="0" w:right="2006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Introduction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and post-application queries. We train an in-house retrieval</w:t>
            </w:r>
          </w:p>
        </w:tc>
      </w:tr>
      <w:tr>
        <w:trPr>
          <w:trHeight w:hRule="exact" w:val="21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(embedding) model using info Noise Contrastive Estima-</w:t>
            </w:r>
          </w:p>
        </w:tc>
      </w:tr>
      <w:tr>
        <w:trPr>
          <w:trHeight w:hRule="exact" w:val="10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tion (infoNCE) loss (van den Oord, Li, and Vinyals 2019)</w:t>
            </w:r>
          </w:p>
        </w:tc>
      </w:tr>
      <w:tr>
        <w:trPr>
          <w:trHeight w:hRule="exact" w:val="110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With the advent of Large Language Models (LLM), we ob-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with the English and Hinglish paraphrase queries created</w:t>
            </w:r>
          </w:p>
        </w:tc>
      </w:tr>
      <w:tr>
        <w:trPr>
          <w:trHeight w:hRule="exact" w:val="8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serve an increased use of conversational assistants even for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using ChatGPT. The embedding model is trained to maxi-</w:t>
            </w:r>
          </w:p>
        </w:tc>
      </w:tr>
      <w:tr>
        <w:trPr>
          <w:trHeight w:hRule="exact" w:val="84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domain use cases. Trained on a large web-scale text cor-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mize query-question and query-QnA similarity. Experimen-</w:t>
            </w:r>
          </w:p>
        </w:tc>
      </w:tr>
      <w:tr>
        <w:trPr>
          <w:trHeight w:hRule="exact" w:val="84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pus with approaches such as instruction tuning and Rein-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tal results show that the in-house model performs signifi-</w:t>
            </w:r>
          </w:p>
        </w:tc>
      </w:tr>
      <w:tr>
        <w:trPr>
          <w:trHeight w:hRule="exact" w:val="84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4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forcement Learning with Human Feedback (RLHF), LLMs</w:t>
            </w:r>
          </w:p>
        </w:tc>
        <w:tc>
          <w:tcPr>
            <w:tcW w:type="dxa" w:w="36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3655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50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cantly better than a public pre-trained embedding model re-</w:t>
            </w:r>
          </w:p>
        </w:tc>
      </w:tr>
      <w:tr>
        <w:trPr>
          <w:trHeight w:hRule="exact" w:val="209"/>
        </w:trPr>
        <w:tc>
          <w:tcPr>
            <w:tcW w:type="dxa" w:w="858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0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Copyright © 2024, Association for the Advancement of Artificial</w:t>
            </w:r>
          </w:p>
        </w:tc>
        <w:tc>
          <w:tcPr>
            <w:tcW w:type="dxa" w:w="504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garding retrieval accuracy and Out-of-Domain (OOD) query</w:t>
            </w:r>
          </w:p>
        </w:tc>
      </w:tr>
      <w:tr>
        <w:trPr>
          <w:trHeight w:hRule="exact" w:val="204"/>
        </w:trPr>
        <w:tc>
          <w:tcPr>
            <w:tcW w:type="dxa" w:w="3655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Intelligence (www.aaai.org). All rights reserved.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7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detection. OOD queries are questions unrelated to the do-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32" w:right="1056" w:bottom="872" w:left="2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sectPr>
          <w:pgSz w:w="12240" w:h="15840"/>
          <w:pgMar w:top="668" w:right="1060" w:bottom="45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0" w:right="11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main data, e.g., how is the weather today? For every user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query, we retrieve top-k FAQs (question + answer) as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and input them to the LLM to generate the answer.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maintain the previous two queries, answers, and FAQ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as history to enable the multi-turn conversation. We 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 open paid API-based ChatGPT (gpt-35-turbo-16k-0613)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all our experiments as an LLM. GPT-4 is used to rate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bot answer quality (as Good/Bad) for the end-to-end RAG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pipeline.</w:t>
      </w:r>
    </w:p>
    <w:p>
      <w:pPr>
        <w:autoSpaceDN w:val="0"/>
        <w:autoSpaceDE w:val="0"/>
        <w:widowControl/>
        <w:spacing w:line="220" w:lineRule="exact" w:before="20" w:after="0"/>
        <w:ind w:left="0" w:right="11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propose an RL-based approach to optimize the num-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ber of tokens passed to the LLM. We noticed that for cer-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tain patterns/sequences of queries, we can get a good answer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from the bot even without fetching the FAQ context. Ex-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amples of such scenarios can be: 1. for a follow-up query;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FAQ context need not be retrieved if it has already been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fetched for the previous query; 2. for the sequence of queries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referring to the same FAQ, a context can be fetched only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once at the start; 3. for OOD queries, the LLM prompt it-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self can guide the bot to generate the answer. Using this 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sight, we propose a policy gradient-based approach to opti-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mize the number of LLM tokens and, hence, the cost.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input to the policy model is the State, which comprises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previous queries, previous policy actions, and the current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query. The policy model can take two actions: [FETCH] 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[NO_FETCH]. A usual RAG pipeline would be executed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when a policy network takes a [FETCH] action. When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policy network chooses a [NO_FETCH] action, FAQ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is not retrieved. A query and context (empty in the case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[NO_FETCH] action) are inputted to the LLM. We 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GPT-4 as the reward model and convert the quality rating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(Good/Bad) to the numeric reward using appropriate reward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shaping. If the LLM generates a good answer (as rated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GPT-4) even without fetching the context, we give it a high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positive reward to promote such actions in the future. If 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fetching a FAQ context leads to a wrong answer, we pro-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vide a negative reward (e.g., this can happen if the policy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 chooses a [NO_FETCH] action for a domain query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without any previous relevant context). For the training chat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sessions, for each State, a policy model samples an action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according to the current probability distribution over the ac-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tions. We then generate (State, Action, Reward) trajectories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by sampling multiple times from the current policy. A pol-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icy model is then updated using a policy gradient with cu-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mulative reward. As a policy model, we experimented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in-house BERT and public gpt-2 models. Figure 1 shows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architecture of the proposed policy-based approach. Exper-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imental results demonstrate that the policy model provides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token saving by fetching the FAQ context only when it is 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quired. When combined with a simple similarity threshold-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based optimization, we are able to achieve token savings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~31% on the test chat session with 91 queries while achiev-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slightly improved accuracy (evaluated through manual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labeling) than the usual RAG pipeline. This underlines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effectiveness of the proposed approach.</w:t>
      </w:r>
    </w:p>
    <w:p>
      <w:pPr>
        <w:autoSpaceDN w:val="0"/>
        <w:autoSpaceDE w:val="0"/>
        <w:widowControl/>
        <w:spacing w:line="226" w:lineRule="exact" w:before="244" w:after="0"/>
        <w:ind w:left="0" w:right="0" w:firstLine="0"/>
        <w:jc w:val="center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Related works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 recent advancements in Generative AI and LLMs,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Retrieval-Augmented Generation (RAG) (Lewis et al. 2021)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approach has emerged as the preferred strategy for contex-</w:t>
      </w:r>
    </w:p>
    <w:p>
      <w:pPr>
        <w:sectPr>
          <w:type w:val="continuous"/>
          <w:pgSz w:w="12240" w:h="15840"/>
          <w:pgMar w:top="668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2</w:t>
      </w:r>
    </w:p>
    <w:p>
      <w:pPr>
        <w:sectPr>
          <w:type w:val="nextColumn"/>
          <w:pgSz w:w="12240" w:h="15840"/>
          <w:pgMar w:top="668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sectPr>
          <w:pgSz w:w="12240" w:h="15840"/>
          <w:pgMar w:top="644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Training in-house embedding model</w:t>
      </w:r>
    </w:p>
    <w:p>
      <w:pPr>
        <w:autoSpaceDN w:val="0"/>
        <w:autoSpaceDE w:val="0"/>
        <w:widowControl/>
        <w:spacing w:line="220" w:lineRule="exact" w:before="64" w:after="0"/>
        <w:ind w:left="0" w:right="11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use RAG for FAQ chatbots, we first need to retrieve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top k most relevant FAQs to answer the given query. To fetch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top-k FAQs, an embedding model is used to encode queries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FAQs. We concatenate a question and an answer within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FAQ and use this to get a vector for that FAQ. A cosine sim-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ilarity measure is then used to rank the FAQs based on their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relevance. We experimented with popular general-purpose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public pre-trained embedding models and models trained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in-domain data. We trained an in-house embedding model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infoNCE loss (van den Oord, Li, and Vinyals 2019) us-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a well-known embedding model (e5-base-v2) weights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initialization. InfoNCE has proved an effective loss for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trastive learning, specifically under self-supervised setting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(Goyal et al. 2021). We finetune a publicly available embed-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ding model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e5-base-v2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(Wang et al. 2022) using in-domain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data with infoNCE loss.</w:t>
      </w:r>
    </w:p>
    <w:p>
      <w:pPr>
        <w:autoSpaceDN w:val="0"/>
        <w:autoSpaceDE w:val="0"/>
        <w:widowControl/>
        <w:spacing w:line="220" w:lineRule="exact" w:before="20" w:after="0"/>
        <w:ind w:left="0" w:right="11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create a dataset for training the embedding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ChatGPT and small manual tagging. We generate multiple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English queries per FAQ as question paraphrases. Due to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large non-English-speaking population in India, we observe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 Hinglish queries on the platform. We also generate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few Hinglish paraphrase queries per FAQ to support code-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mix Hinglish queries. Next, we add a small set of manually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tagged corpus where we add queries that can be answered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based on the FAQ answers’ content. We use ~3.5k queries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training, ~1k queries for validation, and 1014 queries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testing.</w:t>
      </w:r>
    </w:p>
    <w:p>
      <w:pPr>
        <w:autoSpaceDN w:val="0"/>
        <w:autoSpaceDE w:val="0"/>
        <w:widowControl/>
        <w:spacing w:line="240" w:lineRule="exact" w:before="0" w:after="252"/>
        <w:ind w:left="20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use the following loss function to train the model.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367"/>
        <w:gridCol w:w="3367"/>
        <w:gridCol w:w="3367"/>
      </w:tblGrid>
      <w:tr>
        <w:trPr>
          <w:trHeight w:hRule="exact" w:val="328"/>
        </w:trPr>
        <w:tc>
          <w:tcPr>
            <w:tcW w:type="dxa" w:w="85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exp(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sim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z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/τ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06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5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(1)</w:t>
            </w:r>
          </w:p>
        </w:tc>
      </w:tr>
      <w:tr>
        <w:trPr>
          <w:trHeight w:hRule="exact" w:val="378"/>
        </w:trPr>
        <w:tc>
          <w:tcPr>
            <w:tcW w:type="dxa" w:w="85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74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i,j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</w:p>
        </w:tc>
        <w:tc>
          <w:tcPr>
            <w:tcW w:type="dxa" w:w="26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214" w:right="0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=1</w:t>
            </w:r>
            <w:r>
              <w:rPr>
                <w:rFonts w:ascii="dsrom10" w:hAnsi="dsrom10" w:eastAsia="dsrom10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[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̸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=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]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exp(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sim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z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/τ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06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8" w:lineRule="exact" w:before="106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Here,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z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z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indicate a positive pair (i.e., question para-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phrases for the same FAQ),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indicates batch size,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indicates temperature. For all our experiments, we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8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0.1 and use cosine similarity for sim.</w:t>
      </w:r>
    </w:p>
    <w:p>
      <w:pPr>
        <w:autoSpaceDN w:val="0"/>
        <w:autoSpaceDE w:val="0"/>
        <w:widowControl/>
        <w:spacing w:line="220" w:lineRule="exact" w:before="20" w:after="0"/>
        <w:ind w:left="0" w:right="11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seen from Eq. 1, infoNCE loss is specifically suit-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able for training with query-FAQ mapped data because it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only needs positive pairs and treats remaining samples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in-batch negatives. We finetune the embedding model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two objectives: maximize query-QnA similarity and query-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question similarity.</w:t>
      </w:r>
    </w:p>
    <w:p>
      <w:pPr>
        <w:autoSpaceDN w:val="0"/>
        <w:autoSpaceDE w:val="0"/>
        <w:widowControl/>
        <w:spacing w:line="220" w:lineRule="exact" w:before="20" w:after="0"/>
        <w:ind w:left="0" w:right="11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1 shows the top-1 and top-3 accuracy comparison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results for English and Hinglish queries with a general-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purpose public model (e5-base-v2), the models finetuned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 triplet loss and infoNCE loss. The ranking results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computed based on query-QnA cosine similarity. It can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seen that the in-house model trained with infoNCE works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significantly better than the public pre-trained model.</w:t>
      </w:r>
    </w:p>
    <w:p>
      <w:pPr>
        <w:autoSpaceDN w:val="0"/>
        <w:autoSpaceDE w:val="0"/>
        <w:widowControl/>
        <w:spacing w:line="220" w:lineRule="exact" w:before="20" w:after="0"/>
        <w:ind w:left="0" w:right="11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Next, we compare the detection performance of pub-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lic and in-house models on in-domain vs out-of-domain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(OOD) samples. We created a dataset of 30 in-domain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OOD queries each. In-domain queries contain English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Hinglish queries, while OOD queries include greeting, ac-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knowledgment, and general non-domain-related questions.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calculated mean scores for positive and negative queries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the public and finetuned model. Table 2 shows the</w:t>
      </w:r>
    </w:p>
    <w:p>
      <w:pPr>
        <w:sectPr>
          <w:type w:val="continuous"/>
          <w:pgSz w:w="12240" w:h="15840"/>
          <w:pgMar w:top="644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3</w:t>
      </w:r>
    </w:p>
    <w:p>
      <w:pPr>
        <w:sectPr>
          <w:type w:val="nextColumn"/>
          <w:pgSz w:w="12240" w:h="15840"/>
          <w:pgMar w:top="644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00800" cy="10121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12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234" w:after="422"/>
        <w:ind w:left="134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Figure 1: Proposed policy agent based architecture for optimizing RAG for domain chatbots.</w:t>
      </w:r>
    </w:p>
    <w:p>
      <w:pPr>
        <w:sectPr>
          <w:pgSz w:w="12240" w:h="15840"/>
          <w:pgMar w:top="660" w:right="940" w:bottom="454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22" w:after="350"/>
        <w:ind w:left="0" w:right="11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the current query, current FAQ context, answer gener-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ated from the bot, and conversation history (which includes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previous query, answers, and FAQ context). We do not pro-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vide GPT-4 with the ideal or ground truth response. Instead,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prompt GPT-4 to evaluate the quality of the generated an-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swer based on the information available in the current FAQ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context and conversation history. GPT-4 is instructed to eval-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uate the output based on whether it exactly matches the 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formation provided in the FAQ context. Any additions or de-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viations from the available information are termed as factual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failures and are to be rated bad. GPT-4 is asked to provide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final rating as good or bad and the reason behind the rating.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the OOD queries, the bot is supposed to provide a "do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not know" answer, and GPT-4 is instructed to rate such an-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swers as good. Table 3 and 4 show query, bot response,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GPT-4 evaluation examples.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4.00000000000006" w:type="dxa"/>
      </w:tblPr>
      <w:tblGrid>
        <w:gridCol w:w="5110"/>
        <w:gridCol w:w="5110"/>
      </w:tblGrid>
      <w:tr>
        <w:trPr>
          <w:trHeight w:hRule="exact" w:val="228"/>
        </w:trPr>
        <w:tc>
          <w:tcPr>
            <w:tcW w:type="dxa" w:w="130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query</w:t>
            </w:r>
          </w:p>
        </w:tc>
        <w:tc>
          <w:tcPr>
            <w:tcW w:type="dxa" w:w="27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is there annual fee for card</w:t>
            </w:r>
          </w:p>
        </w:tc>
      </w:tr>
      <w:tr>
        <w:trPr>
          <w:trHeight w:hRule="exact" w:val="1104"/>
        </w:trPr>
        <w:tc>
          <w:tcPr>
            <w:tcW w:type="dxa" w:w="130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bot response</w:t>
            </w:r>
          </w:p>
        </w:tc>
        <w:tc>
          <w:tcPr>
            <w:tcW w:type="dxa" w:w="27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16" w:right="11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Yes, there is an annual fee of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INR 500 for the credit card.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However, this fee will be waived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off if your annual spends exceed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INR 3.5 Lakhs.</w:t>
            </w:r>
          </w:p>
        </w:tc>
      </w:tr>
      <w:tr>
        <w:trPr>
          <w:trHeight w:hRule="exact" w:val="228"/>
        </w:trPr>
        <w:tc>
          <w:tcPr>
            <w:tcW w:type="dxa" w:w="130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gpt4 eval</w:t>
            </w:r>
          </w:p>
        </w:tc>
        <w:tc>
          <w:tcPr>
            <w:tcW w:type="dxa" w:w="27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Good</w:t>
            </w:r>
          </w:p>
        </w:tc>
      </w:tr>
      <w:tr>
        <w:trPr>
          <w:trHeight w:hRule="exact" w:val="2418"/>
        </w:trPr>
        <w:tc>
          <w:tcPr>
            <w:tcW w:type="dxa" w:w="130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gpt4 reason</w:t>
            </w:r>
          </w:p>
        </w:tc>
        <w:tc>
          <w:tcPr>
            <w:tcW w:type="dxa" w:w="27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16" w:right="11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answer is directly address-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ing the query and providing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the relevant information from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the FAQ context. The answer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matches with the information in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the FAQ context, stating that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there is an annual fee of INR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500 for the the credit card,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which will be waived off if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annual spends exceed INR 3.5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Lakhs.</w:t>
            </w:r>
          </w:p>
        </w:tc>
      </w:tr>
    </w:tbl>
    <w:p>
      <w:pPr>
        <w:autoSpaceDN w:val="0"/>
        <w:autoSpaceDE w:val="0"/>
        <w:widowControl/>
        <w:spacing w:line="240" w:lineRule="exact" w:before="282" w:after="0"/>
        <w:ind w:left="39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Table 3: GPT-4 evaluation for an in-domain query</w:t>
      </w:r>
    </w:p>
    <w:p>
      <w:pPr>
        <w:autoSpaceDN w:val="0"/>
        <w:autoSpaceDE w:val="0"/>
        <w:widowControl/>
        <w:spacing w:line="220" w:lineRule="exact" w:before="384" w:after="0"/>
        <w:ind w:left="0" w:right="11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evaluated the bot output on a chat session’s sequence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25 queries. Queries consisted of English and Hinglish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domain queries, OOD queries (e.g., hows the weather),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greeting/acknowledgment queries, etc. The GPT-4 evalua-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 provided 100% accuracy for these answers. A manual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verification of evaluations was done to re-confirm the 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sults. The evaluation indicated that the FAQ bot is able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respond accurately to user queries.</w:t>
      </w:r>
    </w:p>
    <w:p>
      <w:pPr>
        <w:sectPr>
          <w:type w:val="continuous"/>
          <w:pgSz w:w="12240" w:h="15840"/>
          <w:pgMar w:top="660" w:right="940" w:bottom="454" w:left="1080" w:header="720" w:footer="720" w:gutter="0"/>
          <w:cols w:num="2" w:equalWidth="0">
            <w:col w:w="4880" w:space="0"/>
            <w:col w:w="53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4</w:t>
      </w:r>
    </w:p>
    <w:p>
      <w:pPr>
        <w:sectPr>
          <w:type w:val="nextColumn"/>
          <w:pgSz w:w="12240" w:h="15840"/>
          <w:pgMar w:top="660" w:right="940" w:bottom="454" w:left="1080" w:header="720" w:footer="720" w:gutter="0"/>
          <w:cols w:num="2" w:equalWidth="0">
            <w:col w:w="4880" w:space="0"/>
            <w:col w:w="5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sectPr>
          <w:pgSz w:w="12240" w:h="15840"/>
          <w:pgMar w:top="644" w:right="1060" w:bottom="454" w:left="1080" w:header="720" w:footer="720" w:gutter="0"/>
          <w:cols w:num="2" w:equalWidth="0">
            <w:col w:w="4880" w:space="0"/>
            <w:col w:w="5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260" w:right="11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FAQ context only for the first query, and all the subse-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quent queries can utilize this context. Hence, fetching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FAQ context on every query is unnecessary under such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 scenario.</w:t>
      </w:r>
    </w:p>
    <w:p>
      <w:pPr>
        <w:autoSpaceDN w:val="0"/>
        <w:autoSpaceDE w:val="0"/>
        <w:widowControl/>
        <w:spacing w:line="260" w:lineRule="exact" w:before="38" w:after="0"/>
        <w:ind w:left="9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•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OOD queries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20" w:lineRule="exact" w:before="34" w:after="0"/>
        <w:ind w:left="260" w:right="11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LLM is prompted to answer OOD queries with a "do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not know" answer. Hence, even if we fetch FAQ context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OOD queries, LLM is instructed to ignore it. Hence,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fetching a context would not be needed for OOD queries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well.</w:t>
      </w:r>
    </w:p>
    <w:p>
      <w:pPr>
        <w:autoSpaceDN w:val="0"/>
        <w:tabs>
          <w:tab w:pos="200" w:val="left"/>
        </w:tabs>
        <w:autoSpaceDE w:val="0"/>
        <w:widowControl/>
        <w:spacing w:line="220" w:lineRule="exact" w:before="118" w:after="0"/>
        <w:ind w:left="0" w:right="0" w:firstLine="0"/>
        <w:jc w:val="left"/>
      </w:pP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can be seen from the list above, there are many cases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which fetching FAQ context would not be needed to get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same answer as with the usual RAG pipeline and, there-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fore, there is a scope to optimize the tokens passed to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LLM to reduce the cost without trading off the accuracy.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propose a Reinforcement Learning (RL) based ap-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proach to optimize the number of tokens passed to LLM.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 1 shows the proposed approach for policy-based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agent for optimizing RAG. Specifically, we train a policy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 to maximize rewards from a GPT-4 evaluator.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policy network resides outside the RAG pipeline and tries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optimize it by tuning the policy. We assume that we do 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have access to gradients of the retrieval model or LLM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treat these components as fixed.</w:t>
      </w:r>
    </w:p>
    <w:p>
      <w:pPr>
        <w:autoSpaceDN w:val="0"/>
        <w:autoSpaceDE w:val="0"/>
        <w:widowControl/>
        <w:spacing w:line="220" w:lineRule="exact" w:before="20" w:after="0"/>
        <w:ind w:left="0" w:right="11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Input to the policy network is the State, which comprises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previous queries, the corresponding actions (encoded as to-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kens), and the current query. Since our RAG pipeline uses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last two conversations as history, for the policy model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well, we maintain the previous two queries as context.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policy network can take two actions for the current query: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[FETCH] and [NO_FETCH]. As the name suggests, when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policy network chooses a [FETCH] action, a usual RAG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pipeline would be executed. When a policy network chooses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[NO_FETCH] action, FAQ context is not retrieved,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current query is directly inputted to the LLM. The LLM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then generates the answer. The current query, answer,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conversation history is inputted to a GPT-4, which rates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bot answer as good or bad.</w:t>
      </w:r>
    </w:p>
    <w:p>
      <w:pPr>
        <w:autoSpaceDN w:val="0"/>
        <w:autoSpaceDE w:val="0"/>
        <w:widowControl/>
        <w:spacing w:line="220" w:lineRule="exact" w:before="20" w:after="0"/>
        <w:ind w:left="0" w:right="110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Intuitively, if a policy model chooses a wrong action,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that case, GPT-4 should provide a rating as Bad, e.g., if a pol-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icy model chooses a [NO_FETCH] action for the in-domain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query without any earlier context. We observe that it is 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deed the case, and Table 5 shows an example of such a case.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GPT-4 evaluation rating is converted to the numeric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reward (</w:t>
      </w:r>
      <w:r>
        <w:rPr>
          <w:rFonts w:ascii="CMMI10" w:hAnsi="CMMI10" w:eastAsia="CMMI10"/>
          <w:b w:val="0"/>
          <w:i/>
          <w:color w:val="000000"/>
          <w:sz w:val="20"/>
        </w:rPr>
        <w:t>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value as depicted in Table 6. An intuition behind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reward function is that when a policy model executes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[NO_FETCH] action and GPT-4 rates the bot response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Good, it indicates that for the input query not fetching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context still leads to a good output, possibly because 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the reasons mentioned in the itemized list. Hence, to pro-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mote such actions, we give a high positive reward. If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policy model plays a [FETCH] action, we give a small pos-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itive reward. If GPT-4 rates the bot response as Bad for ei-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ther of the actions, we provide a negative reward to demote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such actions, e.g., the policy model gets a negative reward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when it does not fetch context when required. To minimize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cost for GPT-4 evaluations, we only evaluate the cases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 a policy model plays a [NO_FETCH] action. This</w:t>
      </w:r>
    </w:p>
    <w:p>
      <w:pPr>
        <w:sectPr>
          <w:type w:val="continuous"/>
          <w:pgSz w:w="12240" w:h="15840"/>
          <w:pgMar w:top="644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5</w:t>
      </w:r>
    </w:p>
    <w:p>
      <w:pPr>
        <w:sectPr>
          <w:type w:val="nextColumn"/>
          <w:pgSz w:w="12240" w:h="15840"/>
          <w:pgMar w:top="644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sectPr>
          <w:pgSz w:w="12240" w:h="15840"/>
          <w:pgMar w:top="666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0" w:right="11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γ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the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discount factor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indicates the number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queries in a chat session. We set the 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γ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a small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value (0.1) since we care for an immediate reward, i.e., ob-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taining good output for each query.</w:t>
      </w:r>
    </w:p>
    <w:p>
      <w:pPr>
        <w:autoSpaceDN w:val="0"/>
        <w:tabs>
          <w:tab w:pos="200" w:val="left"/>
        </w:tabs>
        <w:autoSpaceDE w:val="0"/>
        <w:widowControl/>
        <w:spacing w:line="220" w:lineRule="exact" w:before="20" w:after="0"/>
        <w:ind w:left="0" w:right="0" w:firstLine="0"/>
        <w:jc w:val="left"/>
      </w:pP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train the policy model on six chat sessions consist-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of 168 queries. Additional chat sessions are created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by randomly shuffling the queries within a chat session.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each query within a session, we sample a [FETCH] 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[NO_FETCH] action based on the initial policy. The sam-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pled action is executed, and a bot response is generated.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GPT-4 then evaluates the bot response and provides a rating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 Good or Bad, which is then converted to a numeric 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ward. We repeat this process multiple times per chat session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create a dataset of 1733 (state, action, rating) tuples.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a policy model, we use an in-house pre-trained BERT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model. The in-house BERT model has the same architec-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ture as bert-base-uncased, with 12 layers and an encoding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dimension 768. The model is trained using Masked language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modeling (MLM) and Next sentence prediction (NSP)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in-domain text such as product descriptions, user reviews,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etc. We add a linear layer with Softmax activation 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last layer’s embedding of the [CLS] token to map the State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representation onto a 2-dimensional action space. We add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two new tokens to the vocab representing policy actions,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[FETCH] and [NO_FETCH], and randomly initialize their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embedding. The policy network is trained with the policy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gradient loss and entropy regularization loss shown in Eq.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3. Entropy regularization is shown to help exploration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even leads to better optimization (Ahmed et al. 2019).</w:t>
      </w:r>
    </w:p>
    <w:p>
      <w:pPr>
        <w:autoSpaceDN w:val="0"/>
        <w:tabs>
          <w:tab w:pos="4538" w:val="left"/>
        </w:tabs>
        <w:autoSpaceDE w:val="0"/>
        <w:widowControl/>
        <w:spacing w:line="406" w:lineRule="exact" w:before="200" w:after="0"/>
        <w:ind w:left="704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π</w:t>
      </w:r>
      <w:r>
        <w:rPr>
          <w:rFonts w:ascii="CMMI7" w:hAnsi="CMMI7" w:eastAsia="CMMI7"/>
          <w:b w:val="0"/>
          <w:i/>
          <w:color w:val="000000"/>
          <w:sz w:val="14"/>
        </w:rPr>
        <w:t>θ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G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λ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π</w:t>
      </w:r>
      <w:r>
        <w:rPr>
          <w:rFonts w:ascii="CMMI7" w:hAnsi="CMMI7" w:eastAsia="CMMI7"/>
          <w:b w:val="0"/>
          <w:i/>
          <w:color w:val="000000"/>
          <w:sz w:val="14"/>
        </w:rPr>
        <w:t>θ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(3)</w:t>
      </w:r>
    </w:p>
    <w:p>
      <w:pPr>
        <w:autoSpaceDN w:val="0"/>
        <w:autoSpaceDE w:val="0"/>
        <w:widowControl/>
        <w:spacing w:line="220" w:lineRule="exact" w:before="20" w:after="0"/>
        <w:ind w:left="0" w:right="11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indicates entropy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λ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indicates the entropy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loss weight. We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λ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0.1 for all our experiments.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indi-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cates the state at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th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time step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indicates action taken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at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th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time step.</w:t>
      </w:r>
    </w:p>
    <w:p>
      <w:pPr>
        <w:autoSpaceDN w:val="0"/>
        <w:autoSpaceDE w:val="0"/>
        <w:widowControl/>
        <w:spacing w:line="220" w:lineRule="exact" w:before="20" w:after="0"/>
        <w:ind w:left="0" w:right="11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test the policy model on an extensive test chat session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91 queries, which includes an interleaved sequence of 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domain queries (how to apply for card), greeting/acknowl-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edgment queries (hi, ok, cool, thank u), and OOD queries.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judge the number of token savings obtained with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proposed optimizations, we compare the number of tokens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passed to an LLM with a usual RAG pipeline to the settings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where we introduce the optimizations for RAG. The number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tokens for LLM calls was calculated using the tiktoken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library. With a usual RAG pipeline, we fetch a FAQ context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each query.</w:t>
      </w:r>
    </w:p>
    <w:p>
      <w:pPr>
        <w:autoSpaceDN w:val="0"/>
        <w:autoSpaceDE w:val="0"/>
        <w:widowControl/>
        <w:spacing w:line="220" w:lineRule="exact" w:before="20" w:after="0"/>
        <w:ind w:left="0" w:right="11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 a policy-based approach, the policy model provides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probability prediction over actions for each query. We 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Monte Carlo dropout method to estimate uncertainty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average the probabilities over ten predictions. A [FETCH]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or [NO_FETCH] action is selected based on the averaged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probability.</w:t>
      </w:r>
    </w:p>
    <w:p>
      <w:pPr>
        <w:autoSpaceDN w:val="0"/>
        <w:autoSpaceDE w:val="0"/>
        <w:widowControl/>
        <w:spacing w:line="284" w:lineRule="exact" w:before="178" w:after="0"/>
        <w:ind w:left="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2"/>
        </w:rPr>
        <w:t>Similarity threshold on top-1 score (SimThr)</w:t>
      </w:r>
    </w:p>
    <w:p>
      <w:pPr>
        <w:autoSpaceDN w:val="0"/>
        <w:autoSpaceDE w:val="0"/>
        <w:widowControl/>
        <w:spacing w:line="220" w:lineRule="exact" w:before="66" w:after="0"/>
        <w:ind w:left="0" w:right="11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described earlier, the in-house embedding model trained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 infoNCE loss provides accurate similarity scores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FAQs and discriminate scores w.r.t. OOD queries. An LLM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call can be avoided if the top-1 similarity score is large.</w:t>
      </w:r>
    </w:p>
    <w:p>
      <w:pPr>
        <w:sectPr>
          <w:type w:val="continuous"/>
          <w:pgSz w:w="12240" w:h="15840"/>
          <w:pgMar w:top="666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6</w:t>
      </w:r>
    </w:p>
    <w:p>
      <w:pPr>
        <w:sectPr>
          <w:type w:val="nextColumn"/>
          <w:pgSz w:w="12240" w:h="15840"/>
          <w:pgMar w:top="666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sectPr>
          <w:pgSz w:w="12240" w:h="15840"/>
          <w:pgMar w:top="644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5050"/>
        <w:gridCol w:w="5050"/>
      </w:tblGrid>
      <w:tr>
        <w:trPr>
          <w:trHeight w:hRule="exact" w:val="446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query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what cashback on i will get on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swiggy</w:t>
            </w:r>
          </w:p>
        </w:tc>
      </w:tr>
      <w:tr>
        <w:trPr>
          <w:trHeight w:hRule="exact" w:val="226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policy action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[FETCH]</w:t>
            </w:r>
          </w:p>
        </w:tc>
      </w:tr>
      <w:tr>
        <w:trPr>
          <w:trHeight w:hRule="exact" w:val="446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bot answer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You will get 4% unlimited cashback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on Swiggy with the credit card.</w:t>
            </w:r>
          </w:p>
        </w:tc>
      </w:tr>
      <w:tr>
        <w:trPr>
          <w:trHeight w:hRule="exact" w:val="232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human eval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Good</w:t>
            </w:r>
          </w:p>
        </w:tc>
      </w:tr>
      <w:tr>
        <w:trPr>
          <w:trHeight w:hRule="exact" w:val="232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query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what about pvr</w:t>
            </w:r>
          </w:p>
        </w:tc>
      </w:tr>
      <w:tr>
        <w:trPr>
          <w:trHeight w:hRule="exact" w:val="226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policy action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[NO_FETCH]</w:t>
            </w:r>
          </w:p>
        </w:tc>
      </w:tr>
      <w:tr>
        <w:trPr>
          <w:trHeight w:hRule="exact" w:val="446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bot answer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You will get 4% unlimited cashback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on PVR with the credit card.</w:t>
            </w:r>
          </w:p>
        </w:tc>
      </w:tr>
      <w:tr>
        <w:trPr>
          <w:trHeight w:hRule="exact" w:val="232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human eval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Good</w:t>
            </w:r>
          </w:p>
        </w:tc>
      </w:tr>
      <w:tr>
        <w:trPr>
          <w:trHeight w:hRule="exact" w:val="230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query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how much on curefit</w:t>
            </w:r>
          </w:p>
        </w:tc>
      </w:tr>
      <w:tr>
        <w:trPr>
          <w:trHeight w:hRule="exact" w:val="228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policy action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[NO_FETCH]</w:t>
            </w:r>
          </w:p>
        </w:tc>
      </w:tr>
      <w:tr>
        <w:trPr>
          <w:trHeight w:hRule="exact" w:val="446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bot answer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You will get 4% unlimited cashback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on Curefit with the credit card.</w:t>
            </w:r>
          </w:p>
        </w:tc>
      </w:tr>
      <w:tr>
        <w:trPr>
          <w:trHeight w:hRule="exact" w:val="228"/>
        </w:trPr>
        <w:tc>
          <w:tcPr>
            <w:tcW w:type="dxa" w:w="13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human eval</w:t>
            </w:r>
          </w:p>
        </w:tc>
        <w:tc>
          <w:tcPr>
            <w:tcW w:type="dxa" w:w="307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Good</w:t>
            </w:r>
          </w:p>
        </w:tc>
      </w:tr>
    </w:tbl>
    <w:p>
      <w:pPr>
        <w:autoSpaceDN w:val="0"/>
        <w:autoSpaceDE w:val="0"/>
        <w:widowControl/>
        <w:spacing w:line="218" w:lineRule="exact" w:before="304" w:after="0"/>
        <w:ind w:left="288" w:right="432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9: Policy model predictions on a sequence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queries referring to the same FAQ</w:t>
      </w:r>
    </w:p>
    <w:p>
      <w:pPr>
        <w:autoSpaceDN w:val="0"/>
        <w:autoSpaceDE w:val="0"/>
        <w:widowControl/>
        <w:spacing w:line="220" w:lineRule="exact" w:before="456" w:after="240"/>
        <w:ind w:left="0" w:right="11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gpt-2, we use the embedding from the last layer’s [SEP] to-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ken and add a linear layer on top of it. All the remaining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experimental settings are the same as the in-house BERT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experiment. Table 10 shows the comparison result.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gpt-2 model as the policy provides ~25% of token sav-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with the same accuracy. This indicates that the in-house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BERT model performs better with the limited training set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due to domain pre-training.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525"/>
        <w:gridCol w:w="2525"/>
        <w:gridCol w:w="2525"/>
        <w:gridCol w:w="2525"/>
      </w:tblGrid>
      <w:tr>
        <w:trPr>
          <w:trHeight w:hRule="exact" w:val="226"/>
        </w:trPr>
        <w:tc>
          <w:tcPr>
            <w:tcW w:type="dxa" w:w="22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Setting</w:t>
            </w:r>
          </w:p>
        </w:tc>
        <w:tc>
          <w:tcPr>
            <w:tcW w:type="dxa" w:w="94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# tokens</w:t>
            </w:r>
          </w:p>
        </w:tc>
        <w:tc>
          <w:tcPr>
            <w:tcW w:type="dxa" w:w="7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saving</w:t>
            </w:r>
          </w:p>
        </w:tc>
        <w:tc>
          <w:tcPr>
            <w:tcW w:type="dxa" w:w="60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Acc.</w:t>
            </w:r>
          </w:p>
        </w:tc>
      </w:tr>
      <w:tr>
        <w:trPr>
          <w:trHeight w:hRule="exact" w:val="228"/>
        </w:trPr>
        <w:tc>
          <w:tcPr>
            <w:tcW w:type="dxa" w:w="22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SimThr + policy (gpt-2)</w:t>
            </w:r>
          </w:p>
        </w:tc>
        <w:tc>
          <w:tcPr>
            <w:tcW w:type="dxa" w:w="94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124924</w:t>
            </w:r>
          </w:p>
        </w:tc>
        <w:tc>
          <w:tcPr>
            <w:tcW w:type="dxa" w:w="7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~25%</w:t>
            </w:r>
          </w:p>
        </w:tc>
        <w:tc>
          <w:tcPr>
            <w:tcW w:type="dxa" w:w="60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1.</w:t>
            </w:r>
          </w:p>
        </w:tc>
      </w:tr>
      <w:tr>
        <w:trPr>
          <w:trHeight w:hRule="exact" w:val="226"/>
        </w:trPr>
        <w:tc>
          <w:tcPr>
            <w:tcW w:type="dxa" w:w="223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SimThr + policy (BERT)</w:t>
            </w:r>
          </w:p>
        </w:tc>
        <w:tc>
          <w:tcPr>
            <w:tcW w:type="dxa" w:w="94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115259</w:t>
            </w:r>
          </w:p>
        </w:tc>
        <w:tc>
          <w:tcPr>
            <w:tcW w:type="dxa" w:w="7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~31%</w:t>
            </w:r>
          </w:p>
        </w:tc>
        <w:tc>
          <w:tcPr>
            <w:tcW w:type="dxa" w:w="60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1.</w:t>
            </w:r>
          </w:p>
        </w:tc>
      </w:tr>
    </w:tbl>
    <w:p>
      <w:pPr>
        <w:autoSpaceDN w:val="0"/>
        <w:autoSpaceDE w:val="0"/>
        <w:widowControl/>
        <w:spacing w:line="220" w:lineRule="exact" w:before="302" w:after="0"/>
        <w:ind w:left="288" w:right="432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10: Comparison of token saving with a open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gpt-2 as policy model</w:t>
      </w:r>
    </w:p>
    <w:p>
      <w:pPr>
        <w:autoSpaceDN w:val="0"/>
        <w:autoSpaceDE w:val="0"/>
        <w:widowControl/>
        <w:spacing w:line="312" w:lineRule="exact" w:before="460" w:after="0"/>
        <w:ind w:left="0" w:right="1924" w:firstLine="0"/>
        <w:jc w:val="righ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Conclusion</w:t>
      </w:r>
    </w:p>
    <w:p>
      <w:pPr>
        <w:autoSpaceDN w:val="0"/>
        <w:autoSpaceDE w:val="0"/>
        <w:widowControl/>
        <w:spacing w:line="220" w:lineRule="exact" w:before="52" w:after="0"/>
        <w:ind w:left="0" w:right="11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this paper, we described a RAG-based chatbot for an-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swering credit card-related queries using the domain FAQ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dataset. We generated the question paraphrase data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public LLM model and trained an in-house embedding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 for retrieval using the infoNCE loss. An in-house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 was shown to perform significantly better than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general-purpose public model in terms of ranking accuracy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OOD query detection. Further, we noticed that for spe-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cific patterns/sequences of queries, it is not required to fetch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FAQ context to get a good answer. Assuming a fixed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retrieval model and LLM, we optimize the number of to-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kens passed to an LLM using Reinforcement Learning.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trained a policy model that resides external to the RAG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decides whether to retrieve a context. We used a GPT-4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the reward model. The RL-based optimization combined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 the similarity threshold led to significant token savings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while slightly improving the accuracy. The proposed policy-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based approach is generic and can be used with any existing</w:t>
      </w:r>
    </w:p>
    <w:p>
      <w:pPr>
        <w:sectPr>
          <w:type w:val="continuous"/>
          <w:pgSz w:w="12240" w:h="15840"/>
          <w:pgMar w:top="644" w:right="1060" w:bottom="454" w:left="1080" w:header="720" w:footer="720" w:gutter="0"/>
          <w:cols w:num="2" w:equalWidth="0">
            <w:col w:w="4880" w:space="0"/>
            <w:col w:w="52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1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7</w:t>
      </w:r>
    </w:p>
    <w:sectPr w:rsidR="00FC693F" w:rsidRPr="0006063C" w:rsidSect="00034616">
      <w:type w:val="nextColumn"/>
      <w:pgSz w:w="12240" w:h="15840"/>
      <w:pgMar w:top="644" w:right="1060" w:bottom="454" w:left="1080" w:header="720" w:footer="720" w:gutter="0"/>
      <w:cols w:num="2" w:equalWidth="0">
        <w:col w:w="4880" w:space="0"/>
        <w:col w:w="52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