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31312"/>
          <w:sz w:val="40"/>
        </w:rPr>
        <w:t>SB Fall Protection</w:t>
      </w:r>
    </w:p>
    <w:p>
      <w:pPr>
        <w:spacing w:after="40"/>
      </w:pPr>
      <w:r>
        <w:rPr>
          <w:b/>
          <w:color w:val="FE5922"/>
          <w:sz w:val="26"/>
        </w:rPr>
        <w:t>Enquiry Email — Setup Required</w:t>
      </w:r>
    </w:p>
    <w:p>
      <w:pPr>
        <w:spacing w:after="80"/>
      </w:pPr>
      <w:r>
        <w:rPr>
          <w:b w:val="0"/>
          <w:color w:val="6E6E6F"/>
          <w:sz w:val="20"/>
        </w:rPr>
        <w:t>Everything else on the website is finished and live. This is the last item, and it needs two things that only your Microsoft 365 administrator can do.</w:t>
      </w:r>
    </w:p>
    <w:p>
      <w:pPr>
        <w:spacing w:before="280" w:after="120"/>
      </w:pPr>
      <w:r>
        <w:rPr>
          <w:b/>
          <w:color w:val="131312"/>
          <w:sz w:val="26"/>
        </w:rPr>
        <w:t>What this gives you</w:t>
      </w:r>
    </w:p>
    <w:p>
      <w:pPr>
        <w:spacing w:after="160"/>
      </w:pPr>
      <w:r>
        <w:rPr>
          <w:b w:val="0"/>
          <w:color w:val="131312"/>
          <w:sz w:val="21"/>
        </w:rPr>
        <w:t>At the moment, when someone submits a quote request on the website it is saved and appears in the admin panel — but nobody is told. If nobody opens the panel, the enquiry sits there unseen.</w:t>
      </w:r>
    </w:p>
    <w:p>
      <w:pPr>
        <w:spacing w:after="160"/>
      </w:pPr>
      <w:r>
        <w:rPr>
          <w:b w:val="0"/>
          <w:color w:val="131312"/>
          <w:sz w:val="21"/>
        </w:rPr>
        <w:t>Once this is set up, every enquiry is emailed to your sales inbox the moment it arrives, with the customer's address set as the reply-to. Hitting Reply answers the customer directly.</w:t>
      </w:r>
    </w:p>
    <w:p>
      <w:pPr>
        <w:spacing w:before="320" w:after="120"/>
      </w:pPr>
      <w:r>
        <w:rPr>
          <w:b/>
          <w:color w:val="131312"/>
          <w:sz w:val="28"/>
        </w:rPr>
        <w:t>Part 1 — Microsoft 365 administrator</w:t>
      </w:r>
    </w:p>
    <w:p>
      <w:pPr>
        <w:spacing w:after="160"/>
      </w:pPr>
      <w:r>
        <w:rPr>
          <w:b w:val="0"/>
          <w:color w:val="6E6E6F"/>
          <w:sz w:val="20"/>
        </w:rPr>
        <w:t>Sign in at admin.microsoft.com with an account that has administrator rights.</w:t>
      </w:r>
    </w:p>
    <w:tbl>
      <w:tblPr>
        <w:tblStyle w:val="TableGrid"/>
        <w:tblW w:type="auto" w:w="0"/>
        <w:jc w:val="center"/>
        <w:tblLook w:firstColumn="1" w:firstRow="1" w:lastColumn="0" w:lastRow="0" w:noHBand="0" w:noVBand="1" w:val="04A0"/>
      </w:tblPr>
      <w:tblGrid>
        <w:gridCol w:w="4824"/>
        <w:gridCol w:w="4824"/>
      </w:tblGrid>
      <w:tr>
        <w:tc>
          <w:tcPr>
            <w:tcW w:type="dxa" w:w="864"/>
            <w:shd w:val="clear" w:fill="2B3034"/>
          </w:tcPr>
          <w:p>
            <w:r/>
            <w:r>
              <w:rPr>
                <w:b/>
                <w:color w:val="FFFFFF"/>
                <w:sz w:val="20"/>
              </w:rPr>
              <w:t>Step</w:t>
            </w:r>
          </w:p>
        </w:tc>
        <w:tc>
          <w:tcPr>
            <w:tcW w:type="dxa" w:w="8640"/>
            <w:shd w:val="clear" w:fill="2B3034"/>
          </w:tcPr>
          <w:p>
            <w:r/>
            <w:r>
              <w:rPr>
                <w:b/>
                <w:color w:val="FFFFFF"/>
                <w:sz w:val="20"/>
              </w:rPr>
              <w:t>What to do</w:t>
            </w:r>
          </w:p>
        </w:tc>
      </w:tr>
      <w:tr>
        <w:tc>
          <w:tcPr>
            <w:tcW w:type="dxa" w:w="864"/>
          </w:tcPr>
          <w:p>
            <w:r/>
            <w:r>
              <w:rPr>
                <w:b/>
                <w:sz w:val="19"/>
              </w:rPr>
              <w:t>1</w:t>
            </w:r>
          </w:p>
        </w:tc>
        <w:tc>
          <w:tcPr>
            <w:tcW w:type="dxa" w:w="8640"/>
          </w:tcPr>
          <w:p>
            <w:r/>
            <w:r>
              <w:rPr>
                <w:sz w:val="19"/>
              </w:rPr>
              <w:t>Go to Users → Active users and select the mailbox that should send the notifications (for example sales@sbfallprotection.com).</w:t>
            </w:r>
          </w:p>
        </w:tc>
      </w:tr>
      <w:tr>
        <w:tc>
          <w:tcPr>
            <w:tcW w:type="dxa" w:w="864"/>
          </w:tcPr>
          <w:p>
            <w:r/>
            <w:r>
              <w:rPr>
                <w:b/>
                <w:sz w:val="19"/>
              </w:rPr>
              <w:t>2</w:t>
            </w:r>
          </w:p>
        </w:tc>
        <w:tc>
          <w:tcPr>
            <w:tcW w:type="dxa" w:w="8640"/>
          </w:tcPr>
          <w:p>
            <w:r/>
            <w:r>
              <w:rPr>
                <w:sz w:val="19"/>
              </w:rPr>
              <w:t>Open the Mail tab, then click "Manage email apps".</w:t>
            </w:r>
          </w:p>
        </w:tc>
      </w:tr>
      <w:tr>
        <w:tc>
          <w:tcPr>
            <w:tcW w:type="dxa" w:w="864"/>
          </w:tcPr>
          <w:p>
            <w:r/>
            <w:r>
              <w:rPr>
                <w:b/>
                <w:sz w:val="19"/>
              </w:rPr>
              <w:t>3</w:t>
            </w:r>
          </w:p>
        </w:tc>
        <w:tc>
          <w:tcPr>
            <w:tcW w:type="dxa" w:w="8640"/>
          </w:tcPr>
          <w:p>
            <w:r/>
            <w:r>
              <w:rPr>
                <w:sz w:val="19"/>
              </w:rPr>
              <w:t>Tick "Authenticated SMTP" and save. Microsoft turns this off by default on newer tenants, so it usually needs switching on.</w:t>
            </w:r>
          </w:p>
        </w:tc>
      </w:tr>
      <w:tr>
        <w:tc>
          <w:tcPr>
            <w:tcW w:type="dxa" w:w="864"/>
          </w:tcPr>
          <w:p>
            <w:r/>
            <w:r>
              <w:rPr>
                <w:b/>
                <w:sz w:val="19"/>
              </w:rPr>
              <w:t>4</w:t>
            </w:r>
          </w:p>
        </w:tc>
        <w:tc>
          <w:tcPr>
            <w:tcW w:type="dxa" w:w="8640"/>
          </w:tcPr>
          <w:p>
            <w:r/>
            <w:r>
              <w:rPr>
                <w:sz w:val="19"/>
              </w:rPr>
              <w:t>If multi-factor authentication is enabled on that mailbox, create an app password for it (My Account → Security info → Add sign-in method → App password). A normal password will not work with MFA on.</w:t>
            </w:r>
          </w:p>
        </w:tc>
      </w:tr>
      <w:tr>
        <w:tc>
          <w:tcPr>
            <w:tcW w:type="dxa" w:w="864"/>
          </w:tcPr>
          <w:p>
            <w:r/>
            <w:r>
              <w:rPr>
                <w:b/>
                <w:sz w:val="19"/>
              </w:rPr>
              <w:t>5</w:t>
            </w:r>
          </w:p>
        </w:tc>
        <w:tc>
          <w:tcPr>
            <w:tcW w:type="dxa" w:w="8640"/>
          </w:tcPr>
          <w:p>
            <w:r/>
            <w:r>
              <w:rPr>
                <w:sz w:val="19"/>
              </w:rPr>
              <w:t>Send us the mailbox address and the app password.</w:t>
            </w:r>
          </w:p>
        </w:tc>
      </w:tr>
    </w:tbl>
    <w:p>
      <w:pPr>
        <w:spacing w:after="0"/>
      </w:pPr>
    </w:p>
    <w:p>
      <w:pPr>
        <w:spacing w:after="160"/>
      </w:pPr>
      <w:r>
        <w:rPr>
          <w:b w:val="0"/>
          <w:color w:val="6E6E6F"/>
          <w:sz w:val="19"/>
        </w:rPr>
        <w:t>Note for your IT team: some tenants block SMTP AUTH at the organisation level through a Conditional Access or Authentication Policy. If step 3 has no effect, that policy has to be adjusted, or the mailbox exempted from it.</w:t>
      </w:r>
    </w:p>
    <w:p>
      <w:pPr>
        <w:spacing w:before="320" w:after="120"/>
      </w:pPr>
      <w:r>
        <w:rPr>
          <w:b/>
          <w:color w:val="131312"/>
          <w:sz w:val="28"/>
        </w:rPr>
        <w:t>Part 2 — What we do</w:t>
      </w:r>
    </w:p>
    <w:p>
      <w:pPr>
        <w:spacing w:after="160"/>
      </w:pPr>
      <w:r>
        <w:rPr>
          <w:b w:val="0"/>
          <w:color w:val="131312"/>
          <w:sz w:val="21"/>
        </w:rPr>
        <w:t>Once you send those two details, we add them to the website hosting and switch the feature on. Nothing is needed from you in the admin panel — no settings screen, no configuration.</w:t>
      </w:r>
    </w:p>
    <w:tbl>
      <w:tblPr>
        <w:tblStyle w:val="TableGrid"/>
        <w:tblW w:type="auto" w:w="0"/>
        <w:jc w:val="center"/>
        <w:tblLook w:firstColumn="1" w:firstRow="1" w:lastColumn="0" w:lastRow="0" w:noHBand="0" w:noVBand="1" w:val="04A0"/>
      </w:tblPr>
      <w:tblGrid>
        <w:gridCol w:w="4824"/>
        <w:gridCol w:w="4824"/>
      </w:tblGrid>
      <w:tr>
        <w:tc>
          <w:tcPr>
            <w:tcW w:type="dxa" w:w="2160"/>
            <w:shd w:val="clear" w:fill="2B3034"/>
          </w:tcPr>
          <w:p>
            <w:r/>
            <w:r>
              <w:rPr>
                <w:b/>
                <w:color w:val="FFFFFF"/>
                <w:sz w:val="20"/>
              </w:rPr>
              <w:t>Setting</w:t>
            </w:r>
          </w:p>
        </w:tc>
        <w:tc>
          <w:tcPr>
            <w:tcW w:type="dxa" w:w="7344"/>
            <w:shd w:val="clear" w:fill="2B3034"/>
          </w:tcPr>
          <w:p>
            <w:r/>
            <w:r>
              <w:rPr>
                <w:b/>
                <w:color w:val="FFFFFF"/>
                <w:sz w:val="20"/>
              </w:rPr>
              <w:t>Value</w:t>
            </w:r>
          </w:p>
        </w:tc>
      </w:tr>
      <w:tr>
        <w:tc>
          <w:tcPr>
            <w:tcW w:type="dxa" w:w="2160"/>
          </w:tcPr>
          <w:p>
            <w:r/>
            <w:r>
              <w:rPr>
                <w:b/>
                <w:sz w:val="19"/>
              </w:rPr>
              <w:t>SMTP_USER</w:t>
            </w:r>
          </w:p>
        </w:tc>
        <w:tc>
          <w:tcPr>
            <w:tcW w:type="dxa" w:w="7344"/>
          </w:tcPr>
          <w:p>
            <w:r/>
            <w:r>
              <w:rPr>
                <w:sz w:val="19"/>
              </w:rPr>
              <w:t>The mailbox address, e.g. sales@sbfallprotection.com</w:t>
            </w:r>
          </w:p>
        </w:tc>
      </w:tr>
      <w:tr>
        <w:tc>
          <w:tcPr>
            <w:tcW w:type="dxa" w:w="2160"/>
          </w:tcPr>
          <w:p>
            <w:r/>
            <w:r>
              <w:rPr>
                <w:b/>
                <w:sz w:val="19"/>
              </w:rPr>
              <w:t>SMTP_PASS</w:t>
            </w:r>
          </w:p>
        </w:tc>
        <w:tc>
          <w:tcPr>
            <w:tcW w:type="dxa" w:w="7344"/>
          </w:tcPr>
          <w:p>
            <w:r/>
            <w:r>
              <w:rPr>
                <w:sz w:val="19"/>
              </w:rPr>
              <w:t>The app password from step 4</w:t>
            </w:r>
          </w:p>
        </w:tc>
      </w:tr>
      <w:tr>
        <w:tc>
          <w:tcPr>
            <w:tcW w:type="dxa" w:w="2160"/>
          </w:tcPr>
          <w:p>
            <w:r/>
            <w:r>
              <w:rPr>
                <w:b/>
                <w:sz w:val="19"/>
              </w:rPr>
              <w:t>SMTP_TO</w:t>
            </w:r>
          </w:p>
        </w:tc>
        <w:tc>
          <w:tcPr>
            <w:tcW w:type="dxa" w:w="7344"/>
          </w:tcPr>
          <w:p>
            <w:r/>
            <w:r>
              <w:rPr>
                <w:sz w:val="19"/>
              </w:rPr>
              <w:t>Optional. Extra recipients, separated by commas. Defaults to the sender.</w:t>
            </w:r>
          </w:p>
        </w:tc>
      </w:tr>
    </w:tbl>
    <w:p>
      <w:pPr>
        <w:spacing w:after="0"/>
      </w:pPr>
    </w:p>
    <w:p>
      <w:pPr>
        <w:spacing w:after="160"/>
      </w:pPr>
      <w:r>
        <w:rPr>
          <w:b w:val="0"/>
          <w:color w:val="6E6E6F"/>
          <w:sz w:val="19"/>
        </w:rPr>
        <w:t>Server and port are already set to smtp.office365.com on port 587.</w:t>
      </w:r>
    </w:p>
    <w:p>
      <w:pPr>
        <w:spacing w:before="320" w:after="120"/>
      </w:pPr>
      <w:r>
        <w:rPr>
          <w:b/>
          <w:color w:val="131312"/>
          <w:sz w:val="28"/>
        </w:rPr>
        <w:t>Using the admin panel</w:t>
      </w:r>
    </w:p>
    <w:p>
      <w:pPr>
        <w:spacing w:after="160"/>
      </w:pPr>
      <w:r>
        <w:rPr>
          <w:b w:val="0"/>
          <w:color w:val="131312"/>
          <w:sz w:val="21"/>
        </w:rPr>
        <w:t>The panel is at www.sbfallprotection.com/admin. Sign in with your email and password, or with Google using the same address.</w:t>
      </w:r>
    </w:p>
    <w:tbl>
      <w:tblPr>
        <w:tblStyle w:val="TableGrid"/>
        <w:tblW w:type="auto" w:w="0"/>
        <w:jc w:val="center"/>
        <w:tblLook w:firstColumn="1" w:firstRow="1" w:lastColumn="0" w:lastRow="0" w:noHBand="0" w:noVBand="1" w:val="04A0"/>
      </w:tblPr>
      <w:tblGrid>
        <w:gridCol w:w="4824"/>
        <w:gridCol w:w="4824"/>
      </w:tblGrid>
      <w:tr>
        <w:tc>
          <w:tcPr>
            <w:tcW w:type="dxa" w:w="2160"/>
            <w:shd w:val="clear" w:fill="2B3034"/>
          </w:tcPr>
          <w:p>
            <w:r/>
            <w:r>
              <w:rPr>
                <w:b/>
                <w:color w:val="FFFFFF"/>
                <w:sz w:val="20"/>
              </w:rPr>
              <w:t>Where</w:t>
            </w:r>
          </w:p>
        </w:tc>
        <w:tc>
          <w:tcPr>
            <w:tcW w:type="dxa" w:w="7344"/>
            <w:shd w:val="clear" w:fill="2B3034"/>
          </w:tcPr>
          <w:p>
            <w:r/>
            <w:r>
              <w:rPr>
                <w:b/>
                <w:color w:val="FFFFFF"/>
                <w:sz w:val="20"/>
              </w:rPr>
              <w:t>What it does</w:t>
            </w:r>
          </w:p>
        </w:tc>
      </w:tr>
      <w:tr>
        <w:tc>
          <w:tcPr>
            <w:tcW w:type="dxa" w:w="2160"/>
          </w:tcPr>
          <w:p>
            <w:r/>
            <w:r>
              <w:rPr>
                <w:b/>
                <w:sz w:val="19"/>
              </w:rPr>
              <w:t>Enquiries</w:t>
            </w:r>
          </w:p>
        </w:tc>
        <w:tc>
          <w:tcPr>
            <w:tcW w:type="dxa" w:w="7344"/>
          </w:tcPr>
          <w:p>
            <w:r/>
            <w:r>
              <w:rPr>
                <w:sz w:val="19"/>
              </w:rPr>
              <w:t>Every quote request, with status you can set to New, In progress, Quoted or Closed. The bell in the top bar shows how many are new.</w:t>
            </w:r>
          </w:p>
        </w:tc>
      </w:tr>
      <w:tr>
        <w:tc>
          <w:tcPr>
            <w:tcW w:type="dxa" w:w="2160"/>
          </w:tcPr>
          <w:p>
            <w:r/>
            <w:r>
              <w:rPr>
                <w:b/>
                <w:sz w:val="19"/>
              </w:rPr>
              <w:t>Products</w:t>
            </w:r>
          </w:p>
        </w:tc>
        <w:tc>
          <w:tcPr>
            <w:tcW w:type="dxa" w:w="7344"/>
          </w:tcPr>
          <w:p>
            <w:r/>
            <w:r>
              <w:rPr>
                <w:sz w:val="19"/>
              </w:rPr>
              <w:t>All 232 product codes — specifications, images and whether each is visible on the website.</w:t>
            </w:r>
          </w:p>
        </w:tc>
      </w:tr>
      <w:tr>
        <w:tc>
          <w:tcPr>
            <w:tcW w:type="dxa" w:w="2160"/>
          </w:tcPr>
          <w:p>
            <w:r/>
            <w:r>
              <w:rPr>
                <w:b/>
                <w:sz w:val="19"/>
              </w:rPr>
              <w:t>Articles</w:t>
            </w:r>
          </w:p>
        </w:tc>
        <w:tc>
          <w:tcPr>
            <w:tcW w:type="dxa" w:w="7344"/>
          </w:tcPr>
          <w:p>
            <w:r/>
            <w:r>
              <w:rPr>
                <w:sz w:val="19"/>
              </w:rPr>
              <w:t>Blog posts.</w:t>
            </w:r>
          </w:p>
        </w:tc>
      </w:tr>
      <w:tr>
        <w:tc>
          <w:tcPr>
            <w:tcW w:type="dxa" w:w="2160"/>
          </w:tcPr>
          <w:p>
            <w:r/>
            <w:r>
              <w:rPr>
                <w:b/>
                <w:sz w:val="19"/>
              </w:rPr>
              <w:t>Reels</w:t>
            </w:r>
          </w:p>
        </w:tc>
        <w:tc>
          <w:tcPr>
            <w:tcW w:type="dxa" w:w="7344"/>
          </w:tcPr>
          <w:p>
            <w:r/>
            <w:r>
              <w:rPr>
                <w:sz w:val="19"/>
              </w:rPr>
              <w:t>The Instagram clips shown on the home page.</w:t>
            </w:r>
          </w:p>
        </w:tc>
      </w:tr>
      <w:tr>
        <w:tc>
          <w:tcPr>
            <w:tcW w:type="dxa" w:w="2160"/>
          </w:tcPr>
          <w:p>
            <w:r/>
            <w:r>
              <w:rPr>
                <w:b/>
                <w:sz w:val="19"/>
              </w:rPr>
              <w:t>Users</w:t>
            </w:r>
          </w:p>
        </w:tc>
        <w:tc>
          <w:tcPr>
            <w:tcW w:type="dxa" w:w="7344"/>
          </w:tcPr>
          <w:p>
            <w:r/>
            <w:r>
              <w:rPr>
                <w:sz w:val="19"/>
              </w:rPr>
              <w:t>Staff accounts. Super admins can add and remove people; admins can edit content only.</w:t>
            </w:r>
          </w:p>
        </w:tc>
      </w:tr>
      <w:tr>
        <w:tc>
          <w:tcPr>
            <w:tcW w:type="dxa" w:w="2160"/>
          </w:tcPr>
          <w:p>
            <w:r/>
            <w:r>
              <w:rPr>
                <w:b/>
                <w:sz w:val="19"/>
              </w:rPr>
              <w:t>Publish to site</w:t>
            </w:r>
          </w:p>
        </w:tc>
        <w:tc>
          <w:tcPr>
            <w:tcW w:type="dxa" w:w="7344"/>
          </w:tcPr>
          <w:p>
            <w:r/>
            <w:r>
              <w:rPr>
                <w:sz w:val="19"/>
              </w:rPr>
              <w:t>The website is pre-built for speed, so your edits go live when you press this. Allow a minute or two.</w:t>
            </w:r>
          </w:p>
        </w:tc>
      </w:tr>
    </w:tbl>
    <w:p>
      <w:pPr>
        <w:spacing w:after="0"/>
      </w:pPr>
    </w:p>
    <w:p>
      <w:pPr>
        <w:spacing w:before="320" w:after="120"/>
      </w:pPr>
      <w:r>
        <w:rPr>
          <w:b/>
          <w:color w:val="131312"/>
          <w:sz w:val="26"/>
        </w:rPr>
        <w:t>Access</w:t>
      </w:r>
    </w:p>
    <w:p>
      <w:pPr>
        <w:spacing w:after="160"/>
      </w:pPr>
      <w:r>
        <w:rPr>
          <w:b w:val="0"/>
          <w:color w:val="131312"/>
          <w:sz w:val="21"/>
        </w:rPr>
        <w:t>Only accounts added under Users can sign in. Anyone else is refused, including through Google. Adding someone under Users lets them sign in with either their password or Google, using the same address.</w:t>
      </w:r>
    </w:p>
    <w:p>
      <w:pPr>
        <w:spacing w:before="320" w:after="120"/>
      </w:pPr>
      <w:r>
        <w:rPr>
          <w:b/>
          <w:color w:val="B02A1E"/>
          <w:sz w:val="26"/>
        </w:rPr>
        <w:t>One more thing we need</w:t>
      </w:r>
    </w:p>
    <w:p>
      <w:pPr>
        <w:spacing w:after="120"/>
      </w:pPr>
      <w:r>
        <w:rPr>
          <w:b w:val="0"/>
          <w:color w:val="131312"/>
          <w:sz w:val="21"/>
        </w:rPr>
        <w:t>The map on the contact page currently shows Kanpur rather than a pin on your factory. Google's own address search does not recognise the UPSIDC estate at Rooma, so we need the exact coordinates:</w:t>
      </w:r>
    </w:p>
    <w:tbl>
      <w:tblPr>
        <w:tblStyle w:val="TableGrid"/>
        <w:tblW w:type="auto" w:w="0"/>
        <w:jc w:val="center"/>
        <w:tblLook w:firstColumn="1" w:firstRow="1" w:lastColumn="0" w:lastRow="0" w:noHBand="0" w:noVBand="1" w:val="04A0"/>
      </w:tblPr>
      <w:tblGrid>
        <w:gridCol w:w="4824"/>
        <w:gridCol w:w="4824"/>
      </w:tblGrid>
      <w:tr>
        <w:tc>
          <w:tcPr>
            <w:tcW w:type="dxa" w:w="864"/>
            <w:shd w:val="clear" w:fill="2B3034"/>
          </w:tcPr>
          <w:p>
            <w:r/>
            <w:r>
              <w:rPr>
                <w:b/>
                <w:color w:val="FFFFFF"/>
                <w:sz w:val="20"/>
              </w:rPr>
              <w:t>Step</w:t>
            </w:r>
          </w:p>
        </w:tc>
        <w:tc>
          <w:tcPr>
            <w:tcW w:type="dxa" w:w="8640"/>
            <w:shd w:val="clear" w:fill="2B3034"/>
          </w:tcPr>
          <w:p>
            <w:r/>
            <w:r>
              <w:rPr>
                <w:b/>
                <w:color w:val="FFFFFF"/>
                <w:sz w:val="20"/>
              </w:rPr>
              <w:t>What to do</w:t>
            </w:r>
          </w:p>
        </w:tc>
      </w:tr>
      <w:tr>
        <w:tc>
          <w:tcPr>
            <w:tcW w:type="dxa" w:w="864"/>
          </w:tcPr>
          <w:p>
            <w:r/>
            <w:r>
              <w:rPr>
                <w:b/>
                <w:sz w:val="19"/>
              </w:rPr>
              <w:t>1</w:t>
            </w:r>
          </w:p>
        </w:tc>
        <w:tc>
          <w:tcPr>
            <w:tcW w:type="dxa" w:w="8640"/>
          </w:tcPr>
          <w:p>
            <w:r/>
            <w:r>
              <w:rPr>
                <w:sz w:val="19"/>
              </w:rPr>
              <w:t>Open Google Maps and find your factory building.</w:t>
            </w:r>
          </w:p>
        </w:tc>
      </w:tr>
      <w:tr>
        <w:tc>
          <w:tcPr>
            <w:tcW w:type="dxa" w:w="864"/>
          </w:tcPr>
          <w:p>
            <w:r/>
            <w:r>
              <w:rPr>
                <w:b/>
                <w:sz w:val="19"/>
              </w:rPr>
              <w:t>2</w:t>
            </w:r>
          </w:p>
        </w:tc>
        <w:tc>
          <w:tcPr>
            <w:tcW w:type="dxa" w:w="8640"/>
          </w:tcPr>
          <w:p>
            <w:r/>
            <w:r>
              <w:rPr>
                <w:sz w:val="19"/>
              </w:rPr>
              <w:t>Right-click exactly on the building.</w:t>
            </w:r>
          </w:p>
        </w:tc>
      </w:tr>
      <w:tr>
        <w:tc>
          <w:tcPr>
            <w:tcW w:type="dxa" w:w="864"/>
          </w:tcPr>
          <w:p>
            <w:r/>
            <w:r>
              <w:rPr>
                <w:b/>
                <w:sz w:val="19"/>
              </w:rPr>
              <w:t>3</w:t>
            </w:r>
          </w:p>
        </w:tc>
        <w:tc>
          <w:tcPr>
            <w:tcW w:type="dxa" w:w="8640"/>
          </w:tcPr>
          <w:p>
            <w:r/>
            <w:r>
              <w:rPr>
                <w:sz w:val="19"/>
              </w:rPr>
              <w:t>The coordinates appear at the top of the menu, like 26.4512, 80.4103. Click them to copy.</w:t>
            </w:r>
          </w:p>
        </w:tc>
      </w:tr>
      <w:tr>
        <w:tc>
          <w:tcPr>
            <w:tcW w:type="dxa" w:w="864"/>
          </w:tcPr>
          <w:p>
            <w:r/>
            <w:r>
              <w:rPr>
                <w:b/>
                <w:sz w:val="19"/>
              </w:rPr>
              <w:t>4</w:t>
            </w:r>
          </w:p>
        </w:tc>
        <w:tc>
          <w:tcPr>
            <w:tcW w:type="dxa" w:w="8640"/>
          </w:tcPr>
          <w:p>
            <w:r/>
            <w:r>
              <w:rPr>
                <w:sz w:val="19"/>
              </w:rPr>
              <w:t>Send them to us and the pin will sit exactly on your plot.</w:t>
            </w:r>
          </w:p>
        </w:tc>
      </w:tr>
    </w:tbl>
    <w:p>
      <w:pPr>
        <w:spacing w:after="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31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