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B30"/>
          <w:sz w:val="72"/>
        </w:rPr>
        <w:t>Klypup</w:t>
      </w:r>
    </w:p>
    <w:p>
      <w:pPr>
        <w:spacing w:after="320"/>
        <w:jc w:val="center"/>
      </w:pPr>
      <w:r>
        <w:rPr>
          <w:color w:val="4A556A"/>
          <w:sz w:val="28"/>
        </w:rPr>
        <w:t>Investment Research Intelligence — Business &amp; Technical Case Study</w:t>
      </w:r>
    </w:p>
    <w:tbl>
      <w:tblPr>
        <w:tblW w:type="auto" w:w="0"/>
        <w:tblLayout w:type="autofit"/>
        <w:tblLook w:firstColumn="1" w:firstRow="1" w:lastColumn="0" w:lastRow="0" w:noHBand="0" w:noVBand="1" w:val="04A0"/>
      </w:tblPr>
      <w:tblGrid>
        <w:gridCol w:w="9792"/>
      </w:tblGrid>
      <w:tr>
        <w:tc>
          <w:tcPr>
            <w:tcW w:type="dxa" w:w="9792"/>
            <w:shd w:val="clear" w:color="auto" w:fill="E3ECFF"/>
          </w:tcPr>
          <w:p>
            <w:pPr>
              <w:jc w:val="center"/>
            </w:pPr>
            <w:r>
              <w:rPr>
                <w:b/>
                <w:color w:val="111B30"/>
                <w:sz w:val="26"/>
              </w:rPr>
              <w:t xml:space="preserve">▶  Watch the 10-minute demo first  →  </w:t>
            </w:r>
            <w:r>
              <w:rPr>
                <w:b/>
                <w:color w:val="2D5BD8"/>
                <w:sz w:val="26"/>
                <w:u w:val="single"/>
              </w:rPr>
              <w:t>https://youtu.be/7bVMFYfFz_A</w:t>
            </w:r>
          </w:p>
        </w:tc>
      </w:tr>
    </w:tbl>
    <w:p/>
    <w:p>
      <w:pPr>
        <w:spacing w:after="120"/>
      </w:pPr>
      <w:r>
        <w:rPr>
          <w:b/>
          <w:color w:val="111B30"/>
          <w:sz w:val="44"/>
        </w:rPr>
        <w:t>1.  The problem</w:t>
      </w:r>
    </w:p>
    <w:p>
      <w:pPr>
        <w:spacing w:after="120"/>
      </w:pPr>
      <w:r>
        <w:rPr>
          <w:b w:val="0"/>
          <w:i w:val="0"/>
          <w:color w:val="222A3C"/>
          <w:sz w:val="22"/>
        </w:rPr>
        <w:t>A sell-side research analyst at a mid-sized investment bank is asked on Monday morning: "How is NVIDIA's Q3 looking versus AMD, and what are the biggest risks?" What actually happens next is a two-to-five day copy-paste marathon — pulling prices from the Bloomberg Terminal, reading forty-plus news articles by hand, opening 10-Qs on SEC EDGAR, and stitching everything into a Word document. By the time the report lands, the market has already moved.</w:t>
      </w:r>
    </w:p>
    <w:p>
      <w:pPr>
        <w:spacing w:before="280" w:after="80"/>
      </w:pPr>
      <w:r>
        <w:rPr>
          <w:b/>
          <w:color w:val="2D5BD8"/>
          <w:sz w:val="30"/>
        </w:rPr>
        <w:t>Why it happens — the numbers</w:t>
      </w:r>
    </w:p>
    <w:tbl>
      <w:tblPr>
        <w:tblStyle w:val="LightGrid-Accent1"/>
        <w:tblW w:type="auto" w:w="0"/>
        <w:tblLook w:firstColumn="1" w:firstRow="1" w:lastColumn="0" w:lastRow="0" w:noHBand="0" w:noVBand="1" w:val="04A0"/>
      </w:tblPr>
      <w:tblGrid>
        <w:gridCol w:w="3264"/>
        <w:gridCol w:w="3264"/>
        <w:gridCol w:w="3264"/>
      </w:tblGrid>
      <w:tr>
        <w:tc>
          <w:tcPr>
            <w:tcW w:type="dxa" w:w="3264"/>
            <w:shd w:val="clear" w:color="auto" w:fill="2D5BD8"/>
          </w:tcPr>
          <w:p>
            <w:r>
              <w:rPr>
                <w:b/>
                <w:color w:val="FFFFFF"/>
                <w:sz w:val="21"/>
              </w:rPr>
              <w:t>What</w:t>
            </w:r>
          </w:p>
        </w:tc>
        <w:tc>
          <w:tcPr>
            <w:tcW w:type="dxa" w:w="3264"/>
            <w:shd w:val="clear" w:color="auto" w:fill="2D5BD8"/>
          </w:tcPr>
          <w:p>
            <w:r>
              <w:rPr>
                <w:b/>
                <w:color w:val="FFFFFF"/>
                <w:sz w:val="21"/>
              </w:rPr>
              <w:t>Stat</w:t>
            </w:r>
          </w:p>
        </w:tc>
        <w:tc>
          <w:tcPr>
            <w:tcW w:type="dxa" w:w="3264"/>
            <w:shd w:val="clear" w:color="auto" w:fill="2D5BD8"/>
          </w:tcPr>
          <w:p>
            <w:r>
              <w:rPr>
                <w:b/>
                <w:color w:val="FFFFFF"/>
                <w:sz w:val="21"/>
              </w:rPr>
              <w:t>Source</w:t>
            </w:r>
          </w:p>
        </w:tc>
      </w:tr>
      <w:tr>
        <w:tc>
          <w:tcPr>
            <w:tcW w:type="dxa" w:w="3264"/>
          </w:tcPr>
          <w:p>
            <w:r>
              <w:rPr>
                <w:sz w:val="20"/>
              </w:rPr>
              <w:t>Share of analyst time on gathering vs analysis</w:t>
            </w:r>
          </w:p>
        </w:tc>
        <w:tc>
          <w:tcPr>
            <w:tcW w:type="dxa" w:w="3264"/>
          </w:tcPr>
          <w:p>
            <w:r>
              <w:rPr>
                <w:sz w:val="20"/>
              </w:rPr>
              <w:t>~65% on data collection + validation, only 35% on insight</w:t>
            </w:r>
          </w:p>
        </w:tc>
        <w:tc>
          <w:tcPr>
            <w:tcW w:type="dxa" w:w="3264"/>
          </w:tcPr>
          <w:p>
            <w:r>
              <w:rPr>
                <w:sz w:val="20"/>
              </w:rPr>
              <w:t>FP&amp;A Trends Survey 2024</w:t>
            </w:r>
          </w:p>
        </w:tc>
      </w:tr>
      <w:tr>
        <w:tc>
          <w:tcPr>
            <w:tcW w:type="dxa" w:w="3264"/>
          </w:tcPr>
          <w:p>
            <w:r>
              <w:rPr>
                <w:sz w:val="20"/>
              </w:rPr>
              <w:t>Single Bloomberg Terminal seat</w:t>
            </w:r>
          </w:p>
        </w:tc>
        <w:tc>
          <w:tcPr>
            <w:tcW w:type="dxa" w:w="3264"/>
          </w:tcPr>
          <w:p>
            <w:r>
              <w:rPr>
                <w:sz w:val="20"/>
              </w:rPr>
              <w:t>$31,980 per seat per year (2026 list price)</w:t>
            </w:r>
          </w:p>
        </w:tc>
        <w:tc>
          <w:tcPr>
            <w:tcW w:type="dxa" w:w="3264"/>
          </w:tcPr>
          <w:p>
            <w:r>
              <w:rPr>
                <w:sz w:val="20"/>
              </w:rPr>
              <w:t>Bloomberg pricing disclosure, 2026</w:t>
            </w:r>
          </w:p>
        </w:tc>
      </w:tr>
      <w:tr>
        <w:tc>
          <w:tcPr>
            <w:tcW w:type="dxa" w:w="3264"/>
          </w:tcPr>
          <w:p>
            <w:r>
              <w:rPr>
                <w:sz w:val="20"/>
              </w:rPr>
              <w:t>Global spend on financial market data</w:t>
            </w:r>
          </w:p>
        </w:tc>
        <w:tc>
          <w:tcPr>
            <w:tcW w:type="dxa" w:w="3264"/>
          </w:tcPr>
          <w:p>
            <w:r>
              <w:rPr>
                <w:sz w:val="20"/>
              </w:rPr>
              <w:t>$44.3 B in 2024 → $49.2 B in 2025 (+6.4% YoY)</w:t>
            </w:r>
          </w:p>
        </w:tc>
        <w:tc>
          <w:tcPr>
            <w:tcW w:type="dxa" w:w="3264"/>
          </w:tcPr>
          <w:p>
            <w:r>
              <w:rPr>
                <w:sz w:val="20"/>
              </w:rPr>
              <w:t>Burton-Taylor via Finextra</w:t>
            </w:r>
          </w:p>
        </w:tc>
      </w:tr>
      <w:tr>
        <w:tc>
          <w:tcPr>
            <w:tcW w:type="dxa" w:w="3264"/>
          </w:tcPr>
          <w:p>
            <w:r>
              <w:rPr>
                <w:sz w:val="20"/>
              </w:rPr>
              <w:t>Productivity ceiling with AI assistance</w:t>
            </w:r>
          </w:p>
        </w:tc>
        <w:tc>
          <w:tcPr>
            <w:tcW w:type="dxa" w:w="3264"/>
          </w:tcPr>
          <w:p>
            <w:r>
              <w:rPr>
                <w:sz w:val="20"/>
              </w:rPr>
              <w:t>Up to 80% time savings on data collection, 50% on analysis</w:t>
            </w:r>
          </w:p>
        </w:tc>
        <w:tc>
          <w:tcPr>
            <w:tcW w:type="dxa" w:w="3264"/>
          </w:tcPr>
          <w:p>
            <w:r>
              <w:rPr>
                <w:sz w:val="20"/>
              </w:rPr>
              <w:t>Moody's Research Assistant pilot</w:t>
            </w:r>
          </w:p>
        </w:tc>
      </w:tr>
      <w:tr>
        <w:tc>
          <w:tcPr>
            <w:tcW w:type="dxa" w:w="3264"/>
          </w:tcPr>
          <w:p>
            <w:r>
              <w:rPr>
                <w:sz w:val="20"/>
              </w:rPr>
              <w:t>Front-office IB productivity projection</w:t>
            </w:r>
          </w:p>
        </w:tc>
        <w:tc>
          <w:tcPr>
            <w:tcW w:type="dxa" w:w="3264"/>
          </w:tcPr>
          <w:p>
            <w:r>
              <w:rPr>
                <w:sz w:val="20"/>
              </w:rPr>
              <w:t>27–35% gains by 2026</w:t>
            </w:r>
          </w:p>
        </w:tc>
        <w:tc>
          <w:tcPr>
            <w:tcW w:type="dxa" w:w="3264"/>
          </w:tcPr>
          <w:p>
            <w:r>
              <w:rPr>
                <w:sz w:val="20"/>
              </w:rPr>
              <w:t>Deloitte</w:t>
            </w:r>
          </w:p>
        </w:tc>
      </w:tr>
    </w:tbl>
    <w:p>
      <w:pPr>
        <w:spacing w:after="120"/>
      </w:pPr>
      <w:r>
        <w:rPr>
          <w:b/>
          <w:color w:val="111B30"/>
          <w:sz w:val="44"/>
        </w:rPr>
        <w:t>2.  The customer</w:t>
      </w:r>
    </w:p>
    <w:p>
      <w:pPr>
        <w:spacing w:after="120"/>
      </w:pPr>
      <w:r>
        <w:rPr>
          <w:b w:val="0"/>
          <w:i w:val="0"/>
          <w:color w:val="222A3C"/>
          <w:sz w:val="22"/>
        </w:rPr>
        <w:t>Three buyer segments feel this pain every day. Sell-side research analysts at mid-market banks refresh coverage on fifteen to thirty companies, each refresh consuming two to five working days. Buy-side analysts at long-only funds screen fifty-plus tickers every week and need sentiment, filings context, and competitor framing fast. Family-office principals and retail investors track around twenty holdings but cannot justify the $30,000-per-year Bloomberg seat, so they fall back to Yahoo Finance and leave signals on the table.</w:t>
      </w:r>
    </w:p>
    <w:p>
      <w:pPr>
        <w:spacing w:after="120"/>
      </w:pPr>
      <w:r>
        <w:rPr>
          <w:b/>
          <w:color w:val="111B30"/>
          <w:sz w:val="44"/>
        </w:rPr>
        <w:t>3.  Our solution — in one sentence</w:t>
      </w:r>
    </w:p>
    <w:p>
      <w:pPr>
        <w:spacing w:after="120"/>
      </w:pPr>
      <w:r>
        <w:rPr>
          <w:b/>
          <w:i w:val="0"/>
          <w:color w:val="222A3C"/>
          <w:sz w:val="24"/>
        </w:rPr>
        <w:t>Klypup turns a plain-English question into a cited, structured research report in 20 to 45 seconds, grounded in real market data, news, and SEC filings, delivered in a browser on any device.</w:t>
      </w:r>
    </w:p>
    <w:p>
      <w:pPr>
        <w:spacing w:after="120"/>
      </w:pPr>
      <w:r>
        <w:rPr>
          <w:b/>
          <w:color w:val="111B30"/>
          <w:sz w:val="44"/>
        </w:rPr>
        <w:t>4.  Product walkthrough</w:t>
      </w:r>
    </w:p>
    <w:p>
      <w:pPr>
        <w:spacing w:after="120"/>
      </w:pPr>
      <w:r>
        <w:rPr>
          <w:b w:val="0"/>
          <w:i/>
          <w:color w:val="4A556A"/>
          <w:sz w:val="22"/>
        </w:rPr>
        <w:t>The following sections describe each surface of the product. Screenshots accompany the live presentation; please also watch the 10-minute demo at https://youtu.be/7bVMFYfFz_A for the complete flow.</w:t>
      </w:r>
    </w:p>
    <w:p>
      <w:pPr>
        <w:spacing w:before="280" w:after="80"/>
      </w:pPr>
      <w:r>
        <w:rPr>
          <w:b/>
          <w:color w:val="2D5BD8"/>
          <w:sz w:val="30"/>
        </w:rPr>
        <w:t>4.1  Authentication &amp; workspace</w:t>
      </w:r>
    </w:p>
    <w:p>
      <w:pPr>
        <w:spacing w:after="120"/>
      </w:pPr>
      <w:r>
        <w:rPr>
          <w:b w:val="0"/>
          <w:i w:val="0"/>
          <w:color w:val="222A3C"/>
          <w:sz w:val="22"/>
        </w:rPr>
        <w:t>Users sign in with Google or email and are automatically placed into a personal organisation that scopes every request. Firebase issues the ID token; every backend endpoint verifies it, resolves the organisation id, and injects it as a typed dependency. Multi-tenant isolation is enforced at three independent layers: Firestore security rules on `/orgs/{orgId}/**`, a backend middleware that refuses requests without a resolved org, and Supabase row-level security on the semantic-search table.</w:t>
      </w:r>
    </w:p>
    <w:p>
      <w:pPr>
        <w:spacing w:before="280" w:after="80"/>
      </w:pPr>
      <w:r>
        <w:rPr>
          <w:b/>
          <w:color w:val="2D5BD8"/>
          <w:sz w:val="30"/>
        </w:rPr>
        <w:t>4.2  Dashboard — the morning brief</w:t>
      </w:r>
    </w:p>
    <w:p>
      <w:pPr>
        <w:spacing w:after="120"/>
      </w:pPr>
      <w:r>
        <w:rPr>
          <w:b w:val="0"/>
          <w:i w:val="0"/>
          <w:color w:val="222A3C"/>
          <w:sz w:val="22"/>
        </w:rPr>
        <w:t>The dashboard replaces a Bloomberg terminal's opening screen. It renders an eleven-sector SPDR ETF heatmap driven by Financial Modeling Prep's stable-tier snapshot endpoint, the day's top-five gainers and losers, and a personal watchlist with seven-day price sparklines. Every tile is populated by the same caching layer (five-minute TTL on quotes, fifteen on the heatmap) that the rest of the app uses, so the morning landing is free after the first analyst in the org loads it.</w:t>
      </w:r>
    </w:p>
    <w:p>
      <w:pPr>
        <w:spacing w:before="280" w:after="80"/>
      </w:pPr>
      <w:r>
        <w:rPr>
          <w:b/>
          <w:color w:val="2D5BD8"/>
          <w:sz w:val="30"/>
        </w:rPr>
        <w:t>4.3  Research — the agentic flow</w:t>
      </w:r>
    </w:p>
    <w:p>
      <w:pPr>
        <w:spacing w:after="120"/>
      </w:pPr>
      <w:r>
        <w:rPr>
          <w:b w:val="0"/>
          <w:i w:val="0"/>
          <w:color w:val="222A3C"/>
          <w:sz w:val="22"/>
        </w:rPr>
        <w:t>The user types any natural-language query. The backend opens a Server-Sent-Events stream and hands the query to the research agent, which runs on Gemini 2.5 Flash using Google's function calling API following the same agentic pattern as the Agent Development Kit. Gemini is first asked, "which of these six tools do you need to answer this?" — market data, news and sentiment, SEC filings via retrieval-augmented generation, social signals from Reddit and Google Trends, live Google-grounded web search, and an optional Playwright scraper. Only the tools Gemini selects are executed. Their results are fed back in a second Gemini turn that emits the final structured JSON report.</w:t>
      </w:r>
    </w:p>
    <w:p>
      <w:pPr>
        <w:spacing w:after="120"/>
      </w:pPr>
      <w:r>
        <w:rPr>
          <w:b w:val="0"/>
          <w:i w:val="0"/>
          <w:color w:val="222A3C"/>
          <w:sz w:val="22"/>
        </w:rPr>
        <w:t>The frontend receives six section events in order — market, news, filings, social, synthesis, risks — and animates each one in as it arrives. The user never sees a thirty-second black box; they watch the agent work. Every claim in the synthesis section ends with a bracketed citation pointing at the source that produced it, so the analyst can click through to Financial Modeling Prep, a NewsAPI article, or an SEC filing.</w:t>
      </w:r>
    </w:p>
    <w:p>
      <w:pPr>
        <w:spacing w:before="280" w:after="80"/>
      </w:pPr>
      <w:r>
        <w:rPr>
          <w:b/>
          <w:color w:val="2D5BD8"/>
          <w:sz w:val="30"/>
        </w:rPr>
        <w:t>4.4  Chat follow-up — grounded conversation</w:t>
      </w:r>
    </w:p>
    <w:p>
      <w:pPr>
        <w:spacing w:after="120"/>
      </w:pPr>
      <w:r>
        <w:rPr>
          <w:b w:val="0"/>
          <w:i w:val="0"/>
          <w:color w:val="222A3C"/>
          <w:sz w:val="22"/>
        </w:rPr>
        <w:t>Once a report completes, a chat panel appears to the right of the content. The user can ask questions like "which is the better buy right now?" or "explain the biggest risk in detail". The backend streams the response token-by-token using the same SSE protocol; the system prompt injects the key metrics, findings, and synthesis summary from the report so the answer is grounded in the numbers the user is looking at rather than Gemini's general knowledge.</w:t>
      </w:r>
    </w:p>
    <w:p>
      <w:pPr>
        <w:spacing w:before="280" w:after="80"/>
      </w:pPr>
      <w:r>
        <w:rPr>
          <w:b/>
          <w:color w:val="2D5BD8"/>
          <w:sz w:val="30"/>
        </w:rPr>
        <w:t>4.5  Compare — two to four companies side by side</w:t>
      </w:r>
    </w:p>
    <w:p>
      <w:pPr>
        <w:spacing w:after="120"/>
      </w:pPr>
      <w:r>
        <w:rPr>
          <w:b w:val="0"/>
          <w:i w:val="0"/>
          <w:color w:val="222A3C"/>
          <w:sz w:val="22"/>
        </w:rPr>
        <w:t>The compare view runs market, news, and social tools in parallel for each company using asyncio.gather, computes metric winners across eight normalised axes (revenue growth, gross margins, profit margins, valuation, forward valuation, revenue, market cap, momentum), and asks Gemini to produce a structured comparison plus an investor-archetype match (growth buy, value buy, momentum buy, income buy, sentiment buy). The UI renders a six-axis radar, a sortable metrics table with CSV export, a news-sentiment bar chart, and the AI synthesis.</w:t>
      </w:r>
    </w:p>
    <w:p>
      <w:pPr>
        <w:spacing w:before="280" w:after="80"/>
      </w:pPr>
      <w:r>
        <w:rPr>
          <w:b/>
          <w:color w:val="2D5BD8"/>
          <w:sz w:val="30"/>
        </w:rPr>
        <w:t>4.6  Reports archive — semantic search</w:t>
      </w:r>
    </w:p>
    <w:p>
      <w:pPr>
        <w:spacing w:after="120"/>
      </w:pPr>
      <w:r>
        <w:rPr>
          <w:b w:val="0"/>
          <w:i w:val="0"/>
          <w:color w:val="222A3C"/>
          <w:sz w:val="22"/>
        </w:rPr>
        <w:t>Every completed report is written to Firestore as the canonical source of truth. A background task embeds the report's query, summary, and company list with Gemini's `gemini-embedding-001` model (3072-dimensional vectors) and upserts into a Supabase Postgres table protected by the `pgvector` extension. A custom `match_reports` RPC performs cosine-similarity search scoped to the calling organisation. The analyst can later type "GPU competitors" and find a report titled "NVIDIA vs AMD" even though those exact words are not in the title.</w:t>
      </w:r>
    </w:p>
    <w:p>
      <w:pPr>
        <w:spacing w:before="280" w:after="80"/>
      </w:pPr>
      <w:r>
        <w:rPr>
          <w:b/>
          <w:color w:val="2D5BD8"/>
          <w:sz w:val="30"/>
        </w:rPr>
        <w:t>4.7  Watchlist</w:t>
      </w:r>
    </w:p>
    <w:p>
      <w:pPr>
        <w:spacing w:after="120"/>
      </w:pPr>
      <w:r>
        <w:rPr>
          <w:b w:val="0"/>
          <w:i w:val="0"/>
          <w:color w:val="222A3C"/>
          <w:sz w:val="22"/>
        </w:rPr>
        <w:t>The watchlist is a drag-to-reorder list of tickers backed by a sub-collection under the user's organisation. Each row shows a live price, a seven-day close sparkline, a change-percent chip, and a cached sentiment badge. Adding a ticker validates it via the same Financial Modeling Prep fallback chain used by the research tool so Yahoo rate-limiting cannot block a legitimate symbol.</w:t>
      </w:r>
    </w:p>
    <w:p>
      <w:pPr>
        <w:spacing w:after="120"/>
      </w:pPr>
      <w:r>
        <w:rPr>
          <w:b/>
          <w:color w:val="111B30"/>
          <w:sz w:val="44"/>
        </w:rPr>
        <w:t>5.  How it works — technical architecture</w:t>
      </w:r>
    </w:p>
    <w:p>
      <w:pPr>
        <w:spacing w:after="120"/>
      </w:pPr>
      <w:r>
        <w:rPr>
          <w:b w:val="0"/>
          <w:i w:val="0"/>
          <w:color w:val="222A3C"/>
          <w:sz w:val="22"/>
        </w:rPr>
        <w:t>The frontend is a Vite + React 18 + TypeScript single-page app styled with Tailwind (dark and light themes driven by CSS variables) and animated with Framer Motion. Charts use Recharts and the sector heatmap uses D3. React Query manages server state and a Zustand store holds ephemeral UI state. The SSE parser is hand-rolled because the browser's built-in `EventSource` only supports GET; our streams are POST + ID token.</w:t>
      </w:r>
    </w:p>
    <w:p>
      <w:pPr>
        <w:spacing w:after="120"/>
      </w:pPr>
      <w:r>
        <w:rPr>
          <w:b w:val="0"/>
          <w:i w:val="0"/>
          <w:color w:val="222A3C"/>
          <w:sz w:val="22"/>
        </w:rPr>
        <w:t>The backend is FastAPI 0.115 on Python 3.12, served by Uvicorn. Every route requires a Firebase ID token; the `CurrentOrgUser` dependency verifies the token, reads `/users/{uid}.defaultOrg` from Firestore, and injects the org id into route handlers. The research agent lives in `app/agent/research_agent.py` and owns three Gemini turns: dispatch, tool execution, and synthesis. Tools live in `app/agent/tools.py` and each degrades gracefully when its upstream credentials are missing.</w:t>
      </w:r>
    </w:p>
    <w:p>
      <w:pPr>
        <w:spacing w:after="120"/>
      </w:pPr>
      <w:r>
        <w:rPr>
          <w:b w:val="0"/>
          <w:i w:val="0"/>
          <w:color w:val="222A3C"/>
          <w:sz w:val="22"/>
        </w:rPr>
        <w:t>Retrieval-augmented generation over SEC filings runs in-process using ChromaDB with cosine-similarity search. Filings are fetched from SEC EDGAR, chunked with tiktoken's cl100k encoder at 600 tokens with 100 overlap, embedded with `gemini-embedding-001`, and persisted. Semantic search over saved reports uses the same embedding model but stores vectors in Supabase Postgres with pgvector for scalability.</w:t>
      </w:r>
    </w:p>
    <w:p>
      <w:pPr>
        <w:spacing w:after="120"/>
      </w:pPr>
      <w:r>
        <w:rPr>
          <w:b w:val="0"/>
          <w:i w:val="0"/>
          <w:color w:val="222A3C"/>
          <w:sz w:val="22"/>
        </w:rPr>
        <w:t>Market data has a three-provider cascade. Financial Modeling Prep's `/stable/quote` is primary (no IP throttling on the free tier); yfinance is a secondary for richer fundamentals when Yahoo isn't rate-limited; Alpha Vantage's GLOBAL_QUOTE is the last-resort fallback for ETF symbols. The sector heatmap uses FMP's `/stable/sector-performance-snapshot` endpoint, and the movers widget uses `/stable/biggest-gainers` and `/stable/biggest-losers`. A module-level `_silence_stderr` context manager suppresses yfinance's rate-limit noise during fallback attempts.</w:t>
      </w:r>
    </w:p>
    <w:p>
      <w:pPr>
        <w:spacing w:after="120"/>
      </w:pPr>
      <w:r>
        <w:rPr>
          <w:b/>
          <w:color w:val="111B30"/>
          <w:sz w:val="44"/>
        </w:rPr>
        <w:t>6.  Business impact</w:t>
      </w:r>
    </w:p>
    <w:p>
      <w:pPr>
        <w:spacing w:after="120"/>
      </w:pPr>
      <w:r>
        <w:rPr>
          <w:b w:val="0"/>
          <w:i w:val="0"/>
          <w:color w:val="222A3C"/>
          <w:sz w:val="22"/>
        </w:rPr>
        <w:t>For the sell-side analyst, Klypup collapses the two-to-five day report cycle into thirty to sixty seconds for a first draft. A team that used to ship ten to fifteen reports per month can ship more than a hundred at the same headcount without losing the citation discipline. For the firm, the same research team expands coverage five to eight times and gains a compliance audit trail — every report is saved with its tool calls, durations, and source URLs. For the retail or family-office user priced out of Bloomberg today, the free tier costs $0 per month and runs on a mobile browser.</w:t>
      </w:r>
    </w:p>
    <w:p>
      <w:pPr>
        <w:spacing w:after="120"/>
      </w:pPr>
      <w:r>
        <w:rPr>
          <w:b/>
          <w:color w:val="111B30"/>
          <w:sz w:val="44"/>
        </w:rPr>
        <w:t>7.  Cost model</w:t>
      </w:r>
    </w:p>
    <w:tbl>
      <w:tblPr>
        <w:tblStyle w:val="LightGrid-Accent1"/>
        <w:tblW w:type="auto" w:w="0"/>
        <w:tblLook w:firstColumn="1" w:firstRow="1" w:lastColumn="0" w:lastRow="0" w:noHBand="0" w:noVBand="1" w:val="04A0"/>
      </w:tblPr>
      <w:tblGrid>
        <w:gridCol w:w="3264"/>
        <w:gridCol w:w="3264"/>
        <w:gridCol w:w="3264"/>
      </w:tblGrid>
      <w:tr>
        <w:tc>
          <w:tcPr>
            <w:tcW w:type="dxa" w:w="3264"/>
            <w:shd w:val="clear" w:color="auto" w:fill="2D5BD8"/>
          </w:tcPr>
          <w:p>
            <w:r>
              <w:rPr>
                <w:b/>
                <w:color w:val="FFFFFF"/>
                <w:sz w:val="21"/>
              </w:rPr>
              <w:t>What</w:t>
            </w:r>
          </w:p>
        </w:tc>
        <w:tc>
          <w:tcPr>
            <w:tcW w:type="dxa" w:w="3264"/>
            <w:shd w:val="clear" w:color="auto" w:fill="2D5BD8"/>
          </w:tcPr>
          <w:p>
            <w:r>
              <w:rPr>
                <w:b/>
                <w:color w:val="FFFFFF"/>
                <w:sz w:val="21"/>
              </w:rPr>
              <w:t>Stat</w:t>
            </w:r>
          </w:p>
        </w:tc>
        <w:tc>
          <w:tcPr>
            <w:tcW w:type="dxa" w:w="3264"/>
            <w:shd w:val="clear" w:color="auto" w:fill="2D5BD8"/>
          </w:tcPr>
          <w:p>
            <w:r>
              <w:rPr>
                <w:b/>
                <w:color w:val="FFFFFF"/>
                <w:sz w:val="21"/>
              </w:rPr>
              <w:t>Source</w:t>
            </w:r>
          </w:p>
        </w:tc>
      </w:tr>
      <w:tr>
        <w:tc>
          <w:tcPr>
            <w:tcW w:type="dxa" w:w="3264"/>
          </w:tcPr>
          <w:p>
            <w:r>
              <w:rPr>
                <w:sz w:val="20"/>
              </w:rPr>
              <w:t>Gemini 2.5 Flash (dispatcher + synthesis)</w:t>
            </w:r>
          </w:p>
        </w:tc>
        <w:tc>
          <w:tcPr>
            <w:tcW w:type="dxa" w:w="3264"/>
          </w:tcPr>
          <w:p>
            <w:r>
              <w:rPr>
                <w:sz w:val="20"/>
              </w:rPr>
              <w:t>~$0.60 per 1,000 queries</w:t>
            </w:r>
          </w:p>
        </w:tc>
        <w:tc>
          <w:tcPr>
            <w:tcW w:type="dxa" w:w="3264"/>
          </w:tcPr>
          <w:p>
            <w:r>
              <w:rPr>
                <w:sz w:val="20"/>
              </w:rPr>
              <w:t>Google API rate</w:t>
            </w:r>
          </w:p>
        </w:tc>
      </w:tr>
      <w:tr>
        <w:tc>
          <w:tcPr>
            <w:tcW w:type="dxa" w:w="3264"/>
          </w:tcPr>
          <w:p>
            <w:r>
              <w:rPr>
                <w:sz w:val="20"/>
              </w:rPr>
              <w:t>FMP + NewsAPI + GNews</w:t>
            </w:r>
          </w:p>
        </w:tc>
        <w:tc>
          <w:tcPr>
            <w:tcW w:type="dxa" w:w="3264"/>
          </w:tcPr>
          <w:p>
            <w:r>
              <w:rPr>
                <w:sz w:val="20"/>
              </w:rPr>
              <w:t>$0</w:t>
            </w:r>
          </w:p>
        </w:tc>
        <w:tc>
          <w:tcPr>
            <w:tcW w:type="dxa" w:w="3264"/>
          </w:tcPr>
          <w:p>
            <w:r>
              <w:rPr>
                <w:sz w:val="20"/>
              </w:rPr>
              <w:t>Free tiers</w:t>
            </w:r>
          </w:p>
        </w:tc>
      </w:tr>
      <w:tr>
        <w:tc>
          <w:tcPr>
            <w:tcW w:type="dxa" w:w="3264"/>
          </w:tcPr>
          <w:p>
            <w:r>
              <w:rPr>
                <w:sz w:val="20"/>
              </w:rPr>
              <w:t>Firestore + Firebase Auth</w:t>
            </w:r>
          </w:p>
        </w:tc>
        <w:tc>
          <w:tcPr>
            <w:tcW w:type="dxa" w:w="3264"/>
          </w:tcPr>
          <w:p>
            <w:r>
              <w:rPr>
                <w:sz w:val="20"/>
              </w:rPr>
              <w:t>~$0.05 per 1,000 queries</w:t>
            </w:r>
          </w:p>
        </w:tc>
        <w:tc>
          <w:tcPr>
            <w:tcW w:type="dxa" w:w="3264"/>
          </w:tcPr>
          <w:p>
            <w:r>
              <w:rPr>
                <w:sz w:val="20"/>
              </w:rPr>
              <w:t>Firebase free plan</w:t>
            </w:r>
          </w:p>
        </w:tc>
      </w:tr>
      <w:tr>
        <w:tc>
          <w:tcPr>
            <w:tcW w:type="dxa" w:w="3264"/>
          </w:tcPr>
          <w:p>
            <w:r>
              <w:rPr>
                <w:sz w:val="20"/>
              </w:rPr>
              <w:t>Supabase pgvector</w:t>
            </w:r>
          </w:p>
        </w:tc>
        <w:tc>
          <w:tcPr>
            <w:tcW w:type="dxa" w:w="3264"/>
          </w:tcPr>
          <w:p>
            <w:r>
              <w:rPr>
                <w:sz w:val="20"/>
              </w:rPr>
              <w:t>$0</w:t>
            </w:r>
          </w:p>
        </w:tc>
        <w:tc>
          <w:tcPr>
            <w:tcW w:type="dxa" w:w="3264"/>
          </w:tcPr>
          <w:p>
            <w:r>
              <w:rPr>
                <w:sz w:val="20"/>
              </w:rPr>
              <w:t>Free tier</w:t>
            </w:r>
          </w:p>
        </w:tc>
      </w:tr>
      <w:tr>
        <w:tc>
          <w:tcPr>
            <w:tcW w:type="dxa" w:w="3264"/>
          </w:tcPr>
          <w:p>
            <w:r>
              <w:rPr>
                <w:sz w:val="20"/>
              </w:rPr>
              <w:t>Render backend hosting</w:t>
            </w:r>
          </w:p>
        </w:tc>
        <w:tc>
          <w:tcPr>
            <w:tcW w:type="dxa" w:w="3264"/>
          </w:tcPr>
          <w:p>
            <w:r>
              <w:rPr>
                <w:sz w:val="20"/>
              </w:rPr>
              <w:t>$0</w:t>
            </w:r>
          </w:p>
        </w:tc>
        <w:tc>
          <w:tcPr>
            <w:tcW w:type="dxa" w:w="3264"/>
          </w:tcPr>
          <w:p>
            <w:r>
              <w:rPr>
                <w:sz w:val="20"/>
              </w:rPr>
              <w:t>750 hrs/mo free</w:t>
            </w:r>
          </w:p>
        </w:tc>
      </w:tr>
      <w:tr>
        <w:tc>
          <w:tcPr>
            <w:tcW w:type="dxa" w:w="3264"/>
          </w:tcPr>
          <w:p>
            <w:r>
              <w:rPr>
                <w:sz w:val="20"/>
              </w:rPr>
              <w:t>Total marginal cost</w:t>
            </w:r>
          </w:p>
        </w:tc>
        <w:tc>
          <w:tcPr>
            <w:tcW w:type="dxa" w:w="3264"/>
          </w:tcPr>
          <w:p>
            <w:r>
              <w:rPr>
                <w:sz w:val="20"/>
              </w:rPr>
              <w:t>≈ $0.65 per 1,000 queries</w:t>
            </w:r>
          </w:p>
        </w:tc>
        <w:tc>
          <w:tcPr>
            <w:tcW w:type="dxa" w:w="3264"/>
          </w:tcPr>
          <w:p>
            <w:r>
              <w:rPr>
                <w:sz w:val="20"/>
              </w:rPr>
              <w:t>Sub-dollar per thousand</w:t>
            </w:r>
          </w:p>
        </w:tc>
      </w:tr>
    </w:tbl>
    <w:p>
      <w:pPr>
        <w:spacing w:after="120"/>
      </w:pPr>
      <w:r>
        <w:rPr>
          <w:b/>
          <w:i w:val="0"/>
          <w:color w:val="222A3C"/>
          <w:sz w:val="22"/>
        </w:rPr>
        <w:t>For comparison, one Bloomberg Terminal seat is $31,980 per year. A Klypup power user running 100 queries a day for a full year incurs roughly $23.70 in marginal cost — the Terminal is approximately 1,000 times more expensive.</w:t>
      </w:r>
    </w:p>
    <w:p>
      <w:pPr>
        <w:spacing w:after="120"/>
      </w:pPr>
      <w:r>
        <w:rPr>
          <w:b/>
          <w:color w:val="111B30"/>
          <w:sz w:val="44"/>
        </w:rPr>
        <w:t>8.  Tech robustness</w:t>
      </w:r>
    </w:p>
    <w:p>
      <w:pPr>
        <w:spacing w:after="120"/>
      </w:pPr>
      <w:r>
        <w:rPr>
          <w:b w:val="0"/>
          <w:i w:val="0"/>
          <w:color w:val="222A3C"/>
          <w:sz w:val="22"/>
        </w:rPr>
        <w:t>No single upstream failure kills a research run. Each data domain has a fallback chain (prices: FMP → yfinance → Alpha Vantage; news: NewsAPI → GNews; web context: Gemini Google grounding). Multi-tenant isolation is defended at three independent layers (Firestore rules, backend middleware, Supabase RLS). Users see progress instead of a black-box wait because every step is a Server-Sent Event. Missing API keys disable only the affected tool; Gemini errors fall back to a deterministic heuristic orchestrator that still emits a structured report.</w:t>
      </w:r>
    </w:p>
    <w:p>
      <w:pPr>
        <w:spacing w:after="120"/>
      </w:pPr>
      <w:r>
        <w:rPr>
          <w:b/>
          <w:color w:val="111B30"/>
          <w:sz w:val="44"/>
        </w:rPr>
        <w:t>9.  Security posture</w:t>
      </w:r>
    </w:p>
    <w:p>
      <w:pPr>
        <w:pStyle w:val="ListBullet"/>
      </w:pPr>
      <w:r>
        <w:rPr>
          <w:color w:val="222A3C"/>
          <w:sz w:val="22"/>
        </w:rPr>
        <w:t>Firebase ID tokens verified on every request.</w:t>
      </w:r>
    </w:p>
    <w:p>
      <w:pPr>
        <w:pStyle w:val="ListBullet"/>
      </w:pPr>
      <w:r>
        <w:rPr>
          <w:color w:val="222A3C"/>
          <w:sz w:val="22"/>
        </w:rPr>
        <w:t>No secrets in source; `.env` files gitignored; cloud secret store in production.</w:t>
      </w:r>
    </w:p>
    <w:p>
      <w:pPr>
        <w:pStyle w:val="ListBullet"/>
      </w:pPr>
      <w:r>
        <w:rPr>
          <w:color w:val="222A3C"/>
          <w:sz w:val="22"/>
        </w:rPr>
        <w:t>Firestore and Supabase use at-rest encryption by default; TLS end-to-end.</w:t>
      </w:r>
    </w:p>
    <w:p>
      <w:pPr>
        <w:pStyle w:val="ListBullet"/>
      </w:pPr>
      <w:r>
        <w:rPr>
          <w:color w:val="222A3C"/>
          <w:sz w:val="22"/>
        </w:rPr>
        <w:t>Supabase anon key is row-level-security locked; service-role key is backend-only.</w:t>
      </w:r>
    </w:p>
    <w:p>
      <w:pPr>
        <w:pStyle w:val="ListBullet"/>
      </w:pPr>
      <w:r>
        <w:rPr>
          <w:color w:val="222A3C"/>
          <w:sz w:val="22"/>
        </w:rPr>
        <w:t>Every report records `tools_used` and `duration_ms` for end-to-end traceability.</w:t>
      </w:r>
    </w:p>
    <w:p>
      <w:pPr>
        <w:spacing w:after="120"/>
      </w:pPr>
      <w:r>
        <w:rPr>
          <w:b/>
          <w:color w:val="111B30"/>
          <w:sz w:val="44"/>
        </w:rPr>
        <w:t>10.  Roadmap — next 90 days</w:t>
      </w:r>
    </w:p>
    <w:p>
      <w:pPr>
        <w:pStyle w:val="ListBullet"/>
      </w:pPr>
      <w:r>
        <w:rPr>
          <w:color w:val="222A3C"/>
          <w:sz w:val="22"/>
        </w:rPr>
        <w:t>Live earnings-call transcripts ingested into the RAG corpus.</w:t>
      </w:r>
    </w:p>
    <w:p>
      <w:pPr>
        <w:pStyle w:val="ListBullet"/>
      </w:pPr>
      <w:r>
        <w:rPr>
          <w:color w:val="222A3C"/>
          <w:sz w:val="22"/>
        </w:rPr>
        <w:t>Agent memory across queries ("compare this to Tuesday's run").</w:t>
      </w:r>
    </w:p>
    <w:p>
      <w:pPr>
        <w:pStyle w:val="ListBullet"/>
      </w:pPr>
      <w:r>
        <w:rPr>
          <w:color w:val="222A3C"/>
          <w:sz w:val="22"/>
        </w:rPr>
        <w:t>Scheduled research runs — weekly auto-refresh of coverage reports.</w:t>
      </w:r>
    </w:p>
    <w:p>
      <w:pPr>
        <w:pStyle w:val="ListBullet"/>
      </w:pPr>
      <w:r>
        <w:rPr>
          <w:color w:val="222A3C"/>
          <w:sz w:val="22"/>
        </w:rPr>
        <w:t>Slack and email delivery so reports reach analysts where they work.</w:t>
      </w:r>
    </w:p>
    <w:p>
      <w:pPr>
        <w:pStyle w:val="ListBullet"/>
      </w:pPr>
      <w:r>
        <w:rPr>
          <w:color w:val="222A3C"/>
          <w:sz w:val="22"/>
        </w:rPr>
        <w:t>Model routing: Haiku for simple queries, Pro for deep synthesis — cost drops further.</w:t>
      </w:r>
    </w:p>
    <w:p>
      <w:pPr>
        <w:pStyle w:val="ListBullet"/>
      </w:pPr>
      <w:r>
        <w:rPr>
          <w:color w:val="222A3C"/>
          <w:sz w:val="22"/>
        </w:rPr>
        <w:t>Admin analytics: firm-wide token spend, coverage heatmap.</w:t>
      </w:r>
    </w:p>
    <w:p>
      <w:pPr>
        <w:spacing w:after="120"/>
      </w:pPr>
      <w:r>
        <w:rPr>
          <w:b/>
          <w:color w:val="111B30"/>
          <w:sz w:val="44"/>
        </w:rPr>
        <w:t>11.  Summary</w:t>
      </w:r>
    </w:p>
    <w:p>
      <w:pPr>
        <w:spacing w:after="120"/>
      </w:pPr>
      <w:r>
        <w:rPr>
          <w:b w:val="0"/>
          <w:i w:val="0"/>
          <w:color w:val="222A3C"/>
          <w:sz w:val="22"/>
        </w:rPr>
        <w:t>The analyst problem is time, not data. Data is a $44 billion industry; time is what Klypup gives back. The product is a browser-based research agent that answers natural-language queries in under a minute with sourced, structured reports. It runs on free or near-free infrastructure and costs roughly 1,000 times less than a Bloomberg seat per user per year.</w:t>
      </w:r>
    </w:p>
    <w:tbl>
      <w:tblPr>
        <w:tblW w:type="auto" w:w="0"/>
        <w:tblLayout w:type="autofit"/>
        <w:tblLook w:firstColumn="1" w:firstRow="1" w:lastColumn="0" w:lastRow="0" w:noHBand="0" w:noVBand="1" w:val="04A0"/>
      </w:tblPr>
      <w:tblGrid>
        <w:gridCol w:w="9792"/>
      </w:tblGrid>
      <w:tr>
        <w:tc>
          <w:tcPr>
            <w:tcW w:type="dxa" w:w="9792"/>
            <w:shd w:val="clear" w:color="auto" w:fill="E3ECFF"/>
          </w:tcPr>
          <w:p>
            <w:pPr>
              <w:jc w:val="center"/>
            </w:pPr>
            <w:r>
              <w:rPr>
                <w:b/>
                <w:color w:val="111B30"/>
                <w:sz w:val="26"/>
              </w:rPr>
              <w:t xml:space="preserve">▶  Watch the 10-minute demo first  →  </w:t>
            </w:r>
            <w:r>
              <w:rPr>
                <w:b/>
                <w:color w:val="2D5BD8"/>
                <w:sz w:val="26"/>
                <w:u w:val="single"/>
              </w:rPr>
              <w:t>https://youtu.be/7bVMFYfFz_A</w:t>
            </w:r>
          </w:p>
        </w:tc>
      </w:tr>
    </w:tbl>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