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E5F1" w:themeColor="accent1" w:themeTint="33"/>
  <w:body>
    <w:p w14:paraId="73C4EBEC" w14:textId="77777777" w:rsidR="000A4C5B" w:rsidRDefault="000A4C5B" w:rsidP="000A4C5B">
      <w:pPr>
        <w:spacing w:after="0" w:line="600" w:lineRule="auto"/>
        <w:jc w:val="center"/>
        <w:rPr>
          <w:b/>
          <w:color w:val="003366"/>
          <w:sz w:val="40"/>
          <w:szCs w:val="28"/>
        </w:rPr>
      </w:pPr>
    </w:p>
    <w:p w14:paraId="24459A7D" w14:textId="78EB3E60" w:rsidR="00B71D5B" w:rsidRPr="000A4C5B" w:rsidRDefault="00000000" w:rsidP="000A4C5B">
      <w:pPr>
        <w:spacing w:after="0" w:line="600" w:lineRule="auto"/>
        <w:jc w:val="center"/>
        <w:rPr>
          <w:sz w:val="22"/>
          <w:szCs w:val="28"/>
        </w:rPr>
      </w:pPr>
      <w:r w:rsidRPr="000A4C5B">
        <w:rPr>
          <w:b/>
          <w:color w:val="003366"/>
          <w:sz w:val="40"/>
          <w:szCs w:val="28"/>
        </w:rPr>
        <w:t>Orion A1 – Safety and Compliance Sheet</w:t>
      </w:r>
    </w:p>
    <w:p w14:paraId="1D447040" w14:textId="77777777" w:rsidR="00B71D5B" w:rsidRDefault="00000000">
      <w:r>
        <w:rPr>
          <w:b/>
          <w:color w:val="003366"/>
          <w:sz w:val="24"/>
        </w:rPr>
        <w:t>1. Introduction and Scope</w:t>
      </w:r>
    </w:p>
    <w:p w14:paraId="6592FB9F" w14:textId="77777777" w:rsidR="00B71D5B" w:rsidRDefault="00000000">
      <w:pPr>
        <w:spacing w:after="120"/>
        <w:jc w:val="both"/>
      </w:pPr>
      <w:r>
        <w:t>This document defines the mandatory safety and compliance standards governing the Orion A1 humanoid robotic platform. It ensures consistent adherence to international and regional safety directives while guiding field engineers, integrators, and compliance officers through procedural safeguards.</w:t>
      </w:r>
    </w:p>
    <w:p w14:paraId="52CC01B0" w14:textId="77777777" w:rsidR="00B71D5B" w:rsidRDefault="00000000">
      <w:pPr>
        <w:spacing w:after="120"/>
        <w:jc w:val="both"/>
      </w:pPr>
      <w:r>
        <w:t>Each Orion system operates under a certified compliance lifecycle aligned with ISO 10218-1, ISO 13849-1, IEC 61508, and CE Machinery Directive 2006/42/EC. Each modification to hardware or firmware requires validation through the Orion Safety Verification Framework (OSVF).</w:t>
      </w:r>
    </w:p>
    <w:p w14:paraId="6BB513AE" w14:textId="77777777" w:rsidR="000A4C5B" w:rsidRDefault="000A4C5B">
      <w:pPr>
        <w:rPr>
          <w:b/>
          <w:color w:val="003366"/>
          <w:sz w:val="24"/>
        </w:rPr>
      </w:pPr>
    </w:p>
    <w:p w14:paraId="7769B199" w14:textId="241599AC" w:rsidR="00B71D5B" w:rsidRDefault="00000000">
      <w:r>
        <w:rPr>
          <w:b/>
          <w:color w:val="003366"/>
          <w:sz w:val="24"/>
        </w:rPr>
        <w:t>2. General Safety Principles</w:t>
      </w:r>
    </w:p>
    <w:p w14:paraId="2CCF33AB" w14:textId="77777777" w:rsidR="00B71D5B" w:rsidRDefault="00000000">
      <w:pPr>
        <w:spacing w:after="120"/>
        <w:jc w:val="both"/>
      </w:pPr>
      <w:r>
        <w:t>Safety design within Orion A1 follows a layered defense strategy: prevention, detection, and mitigation. The architecture integrates real-time monitoring across mechanical, electrical, and logic subsystems.</w:t>
      </w:r>
    </w:p>
    <w:p w14:paraId="23FDEEFB" w14:textId="77777777" w:rsidR="00B71D5B" w:rsidRDefault="00000000">
      <w:pPr>
        <w:spacing w:after="120"/>
        <w:jc w:val="both"/>
      </w:pPr>
      <w:r>
        <w:t>Field operators must ensure the robot is operated only within designated safety zones. The motion controller limits acceleration and joint torque to prevent kinetic energy exceeding 80J.</w:t>
      </w:r>
    </w:p>
    <w:tbl>
      <w:tblPr>
        <w:tblStyle w:val="GridTable5Dark-Accent1"/>
        <w:tblW w:w="0" w:type="auto"/>
        <w:tblLook w:val="04A0" w:firstRow="1" w:lastRow="0" w:firstColumn="1" w:lastColumn="0" w:noHBand="0" w:noVBand="1"/>
      </w:tblPr>
      <w:tblGrid>
        <w:gridCol w:w="2484"/>
        <w:gridCol w:w="2484"/>
        <w:gridCol w:w="2484"/>
        <w:gridCol w:w="2484"/>
      </w:tblGrid>
      <w:tr w:rsidR="00B71D5B" w14:paraId="758CC733" w14:textId="77777777" w:rsidTr="000A4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FC5CE13" w14:textId="77777777" w:rsidR="00B71D5B" w:rsidRDefault="00000000">
            <w:pPr>
              <w:jc w:val="center"/>
            </w:pPr>
            <w:r>
              <w:t>Hazard Type</w:t>
            </w:r>
          </w:p>
        </w:tc>
        <w:tc>
          <w:tcPr>
            <w:tcW w:w="2484" w:type="dxa"/>
          </w:tcPr>
          <w:p w14:paraId="427FA643" w14:textId="77777777" w:rsidR="00B71D5B" w:rsidRDefault="00000000">
            <w:pPr>
              <w:jc w:val="center"/>
              <w:cnfStyle w:val="100000000000" w:firstRow="1" w:lastRow="0" w:firstColumn="0" w:lastColumn="0" w:oddVBand="0" w:evenVBand="0" w:oddHBand="0" w:evenHBand="0" w:firstRowFirstColumn="0" w:firstRowLastColumn="0" w:lastRowFirstColumn="0" w:lastRowLastColumn="0"/>
            </w:pPr>
            <w:r>
              <w:t>Severity</w:t>
            </w:r>
          </w:p>
        </w:tc>
        <w:tc>
          <w:tcPr>
            <w:tcW w:w="2484" w:type="dxa"/>
          </w:tcPr>
          <w:p w14:paraId="361A3FBE" w14:textId="77777777" w:rsidR="00B71D5B" w:rsidRDefault="00000000">
            <w:pPr>
              <w:jc w:val="center"/>
              <w:cnfStyle w:val="100000000000" w:firstRow="1" w:lastRow="0" w:firstColumn="0" w:lastColumn="0" w:oddVBand="0" w:evenVBand="0" w:oddHBand="0" w:evenHBand="0" w:firstRowFirstColumn="0" w:firstRowLastColumn="0" w:lastRowFirstColumn="0" w:lastRowLastColumn="0"/>
            </w:pPr>
            <w:r>
              <w:t>Probability</w:t>
            </w:r>
          </w:p>
        </w:tc>
        <w:tc>
          <w:tcPr>
            <w:tcW w:w="2484" w:type="dxa"/>
          </w:tcPr>
          <w:p w14:paraId="280C28FA" w14:textId="77777777" w:rsidR="00B71D5B" w:rsidRDefault="00000000">
            <w:pPr>
              <w:jc w:val="center"/>
              <w:cnfStyle w:val="100000000000" w:firstRow="1" w:lastRow="0" w:firstColumn="0" w:lastColumn="0" w:oddVBand="0" w:evenVBand="0" w:oddHBand="0" w:evenHBand="0" w:firstRowFirstColumn="0" w:firstRowLastColumn="0" w:lastRowFirstColumn="0" w:lastRowLastColumn="0"/>
            </w:pPr>
            <w:r>
              <w:t>Mitigation</w:t>
            </w:r>
          </w:p>
        </w:tc>
      </w:tr>
      <w:tr w:rsidR="00B71D5B" w14:paraId="69F41076"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C2DB33" w14:textId="77777777" w:rsidR="00B71D5B" w:rsidRDefault="00000000">
            <w:r>
              <w:t>Mechanical (Collision)</w:t>
            </w:r>
          </w:p>
        </w:tc>
        <w:tc>
          <w:tcPr>
            <w:tcW w:w="2484" w:type="dxa"/>
          </w:tcPr>
          <w:p w14:paraId="32600E1E" w14:textId="77777777" w:rsidR="00B71D5B" w:rsidRDefault="00000000">
            <w:pPr>
              <w:cnfStyle w:val="000000100000" w:firstRow="0" w:lastRow="0" w:firstColumn="0" w:lastColumn="0" w:oddVBand="0" w:evenVBand="0" w:oddHBand="1" w:evenHBand="0" w:firstRowFirstColumn="0" w:firstRowLastColumn="0" w:lastRowFirstColumn="0" w:lastRowLastColumn="0"/>
            </w:pPr>
            <w:r>
              <w:t>High</w:t>
            </w:r>
          </w:p>
        </w:tc>
        <w:tc>
          <w:tcPr>
            <w:tcW w:w="2484" w:type="dxa"/>
          </w:tcPr>
          <w:p w14:paraId="2A0A5F87" w14:textId="77777777" w:rsidR="00B71D5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484" w:type="dxa"/>
          </w:tcPr>
          <w:p w14:paraId="6AFF9495" w14:textId="77777777" w:rsidR="00B71D5B" w:rsidRDefault="00000000">
            <w:pPr>
              <w:cnfStyle w:val="000000100000" w:firstRow="0" w:lastRow="0" w:firstColumn="0" w:lastColumn="0" w:oddVBand="0" w:evenVBand="0" w:oddHBand="1" w:evenHBand="0" w:firstRowFirstColumn="0" w:firstRowLastColumn="0" w:lastRowFirstColumn="0" w:lastRowLastColumn="0"/>
            </w:pPr>
            <w:r>
              <w:t>Soft-limiting joints, tactile sensing arrays</w:t>
            </w:r>
          </w:p>
        </w:tc>
      </w:tr>
      <w:tr w:rsidR="00B71D5B" w14:paraId="23097686" w14:textId="77777777" w:rsidTr="000A4C5B">
        <w:tc>
          <w:tcPr>
            <w:cnfStyle w:val="001000000000" w:firstRow="0" w:lastRow="0" w:firstColumn="1" w:lastColumn="0" w:oddVBand="0" w:evenVBand="0" w:oddHBand="0" w:evenHBand="0" w:firstRowFirstColumn="0" w:firstRowLastColumn="0" w:lastRowFirstColumn="0" w:lastRowLastColumn="0"/>
            <w:tcW w:w="2484" w:type="dxa"/>
          </w:tcPr>
          <w:p w14:paraId="53287421" w14:textId="77777777" w:rsidR="00B71D5B" w:rsidRDefault="00000000">
            <w:r>
              <w:t>Electrical (Shock)</w:t>
            </w:r>
          </w:p>
        </w:tc>
        <w:tc>
          <w:tcPr>
            <w:tcW w:w="2484" w:type="dxa"/>
          </w:tcPr>
          <w:p w14:paraId="51FBFA17" w14:textId="77777777" w:rsidR="00B71D5B" w:rsidRDefault="00000000">
            <w:pPr>
              <w:cnfStyle w:val="000000000000" w:firstRow="0" w:lastRow="0" w:firstColumn="0" w:lastColumn="0" w:oddVBand="0" w:evenVBand="0" w:oddHBand="0" w:evenHBand="0" w:firstRowFirstColumn="0" w:firstRowLastColumn="0" w:lastRowFirstColumn="0" w:lastRowLastColumn="0"/>
            </w:pPr>
            <w:r>
              <w:t>High</w:t>
            </w:r>
          </w:p>
        </w:tc>
        <w:tc>
          <w:tcPr>
            <w:tcW w:w="2484" w:type="dxa"/>
          </w:tcPr>
          <w:p w14:paraId="4AB637F8" w14:textId="77777777" w:rsidR="00B71D5B" w:rsidRDefault="00000000">
            <w:pPr>
              <w:cnfStyle w:val="000000000000" w:firstRow="0" w:lastRow="0" w:firstColumn="0" w:lastColumn="0" w:oddVBand="0" w:evenVBand="0" w:oddHBand="0" w:evenHBand="0" w:firstRowFirstColumn="0" w:firstRowLastColumn="0" w:lastRowFirstColumn="0" w:lastRowLastColumn="0"/>
            </w:pPr>
            <w:r>
              <w:t>Low</w:t>
            </w:r>
          </w:p>
        </w:tc>
        <w:tc>
          <w:tcPr>
            <w:tcW w:w="2484" w:type="dxa"/>
          </w:tcPr>
          <w:p w14:paraId="4B8E0959" w14:textId="77777777" w:rsidR="00B71D5B" w:rsidRDefault="00000000">
            <w:pPr>
              <w:cnfStyle w:val="000000000000" w:firstRow="0" w:lastRow="0" w:firstColumn="0" w:lastColumn="0" w:oddVBand="0" w:evenVBand="0" w:oddHBand="0" w:evenHBand="0" w:firstRowFirstColumn="0" w:firstRowLastColumn="0" w:lastRowFirstColumn="0" w:lastRowLastColumn="0"/>
            </w:pPr>
            <w:r>
              <w:t>Double insulation, automatic grounding</w:t>
            </w:r>
          </w:p>
        </w:tc>
      </w:tr>
      <w:tr w:rsidR="00B71D5B" w14:paraId="2642730F"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D14A854" w14:textId="77777777" w:rsidR="00B71D5B" w:rsidRDefault="00000000">
            <w:r>
              <w:t>Thermal (Overheating)</w:t>
            </w:r>
          </w:p>
        </w:tc>
        <w:tc>
          <w:tcPr>
            <w:tcW w:w="2484" w:type="dxa"/>
          </w:tcPr>
          <w:p w14:paraId="5C8A7A74" w14:textId="77777777" w:rsidR="00B71D5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484" w:type="dxa"/>
          </w:tcPr>
          <w:p w14:paraId="4788891C" w14:textId="77777777" w:rsidR="00B71D5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484" w:type="dxa"/>
          </w:tcPr>
          <w:p w14:paraId="5C00D043" w14:textId="77777777" w:rsidR="00B71D5B" w:rsidRDefault="00000000">
            <w:pPr>
              <w:cnfStyle w:val="000000100000" w:firstRow="0" w:lastRow="0" w:firstColumn="0" w:lastColumn="0" w:oddVBand="0" w:evenVBand="0" w:oddHBand="1" w:evenHBand="0" w:firstRowFirstColumn="0" w:firstRowLastColumn="0" w:lastRowFirstColumn="0" w:lastRowLastColumn="0"/>
            </w:pPr>
            <w:r>
              <w:t>Thermal cutoff, cooling redundancy</w:t>
            </w:r>
          </w:p>
        </w:tc>
      </w:tr>
      <w:tr w:rsidR="00B71D5B" w14:paraId="7D795FFE" w14:textId="77777777" w:rsidTr="000A4C5B">
        <w:tc>
          <w:tcPr>
            <w:cnfStyle w:val="001000000000" w:firstRow="0" w:lastRow="0" w:firstColumn="1" w:lastColumn="0" w:oddVBand="0" w:evenVBand="0" w:oddHBand="0" w:evenHBand="0" w:firstRowFirstColumn="0" w:firstRowLastColumn="0" w:lastRowFirstColumn="0" w:lastRowLastColumn="0"/>
            <w:tcW w:w="2484" w:type="dxa"/>
          </w:tcPr>
          <w:p w14:paraId="5E44BC52" w14:textId="77777777" w:rsidR="00B71D5B" w:rsidRDefault="00000000">
            <w:r>
              <w:t>Software (Logic Fault)</w:t>
            </w:r>
          </w:p>
        </w:tc>
        <w:tc>
          <w:tcPr>
            <w:tcW w:w="2484" w:type="dxa"/>
          </w:tcPr>
          <w:p w14:paraId="0DF986A2" w14:textId="77777777" w:rsidR="00B71D5B" w:rsidRDefault="00000000">
            <w:pPr>
              <w:cnfStyle w:val="000000000000" w:firstRow="0" w:lastRow="0" w:firstColumn="0" w:lastColumn="0" w:oddVBand="0" w:evenVBand="0" w:oddHBand="0" w:evenHBand="0" w:firstRowFirstColumn="0" w:firstRowLastColumn="0" w:lastRowFirstColumn="0" w:lastRowLastColumn="0"/>
            </w:pPr>
            <w:r>
              <w:t>High</w:t>
            </w:r>
          </w:p>
        </w:tc>
        <w:tc>
          <w:tcPr>
            <w:tcW w:w="2484" w:type="dxa"/>
          </w:tcPr>
          <w:p w14:paraId="38AEBD75" w14:textId="77777777" w:rsidR="00B71D5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484" w:type="dxa"/>
          </w:tcPr>
          <w:p w14:paraId="22A70BB8" w14:textId="77777777" w:rsidR="00B71D5B" w:rsidRDefault="00000000">
            <w:pPr>
              <w:cnfStyle w:val="000000000000" w:firstRow="0" w:lastRow="0" w:firstColumn="0" w:lastColumn="0" w:oddVBand="0" w:evenVBand="0" w:oddHBand="0" w:evenHBand="0" w:firstRowFirstColumn="0" w:firstRowLastColumn="0" w:lastRowFirstColumn="0" w:lastRowLastColumn="0"/>
            </w:pPr>
            <w:r>
              <w:t>Dual-CPU safety watchdogs</w:t>
            </w:r>
          </w:p>
        </w:tc>
      </w:tr>
      <w:tr w:rsidR="00B71D5B" w14:paraId="337A649D"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647E6C" w14:textId="77777777" w:rsidR="00B71D5B" w:rsidRDefault="00000000">
            <w:r>
              <w:t>Human Error</w:t>
            </w:r>
          </w:p>
        </w:tc>
        <w:tc>
          <w:tcPr>
            <w:tcW w:w="2484" w:type="dxa"/>
          </w:tcPr>
          <w:p w14:paraId="0E52C556" w14:textId="77777777" w:rsidR="00B71D5B" w:rsidRDefault="00000000">
            <w:pPr>
              <w:cnfStyle w:val="000000100000" w:firstRow="0" w:lastRow="0" w:firstColumn="0" w:lastColumn="0" w:oddVBand="0" w:evenVBand="0" w:oddHBand="1" w:evenHBand="0" w:firstRowFirstColumn="0" w:firstRowLastColumn="0" w:lastRowFirstColumn="0" w:lastRowLastColumn="0"/>
            </w:pPr>
            <w:r>
              <w:t>Variable</w:t>
            </w:r>
          </w:p>
        </w:tc>
        <w:tc>
          <w:tcPr>
            <w:tcW w:w="2484" w:type="dxa"/>
          </w:tcPr>
          <w:p w14:paraId="18692E64" w14:textId="77777777" w:rsidR="00B71D5B" w:rsidRDefault="00000000">
            <w:pPr>
              <w:cnfStyle w:val="000000100000" w:firstRow="0" w:lastRow="0" w:firstColumn="0" w:lastColumn="0" w:oddVBand="0" w:evenVBand="0" w:oddHBand="1" w:evenHBand="0" w:firstRowFirstColumn="0" w:firstRowLastColumn="0" w:lastRowFirstColumn="0" w:lastRowLastColumn="0"/>
            </w:pPr>
            <w:r>
              <w:t>High</w:t>
            </w:r>
          </w:p>
        </w:tc>
        <w:tc>
          <w:tcPr>
            <w:tcW w:w="2484" w:type="dxa"/>
          </w:tcPr>
          <w:p w14:paraId="16256402" w14:textId="77777777" w:rsidR="00B71D5B" w:rsidRDefault="00000000">
            <w:pPr>
              <w:cnfStyle w:val="000000100000" w:firstRow="0" w:lastRow="0" w:firstColumn="0" w:lastColumn="0" w:oddVBand="0" w:evenVBand="0" w:oddHBand="1" w:evenHBand="0" w:firstRowFirstColumn="0" w:firstRowLastColumn="0" w:lastRowFirstColumn="0" w:lastRowLastColumn="0"/>
            </w:pPr>
            <w:r>
              <w:t>Training, lockout/tagout procedure</w:t>
            </w:r>
          </w:p>
        </w:tc>
      </w:tr>
    </w:tbl>
    <w:p w14:paraId="7972A43D" w14:textId="77777777" w:rsidR="00B71D5B" w:rsidRDefault="00000000">
      <w:pPr>
        <w:spacing w:after="120"/>
        <w:jc w:val="both"/>
      </w:pPr>
      <w:r>
        <w:t>Note: Each hazard classification is periodically reviewed through the Orion Risk Analytics System (ORAS). The system collects telemetry from operational robots to identify risk trends and propose mitigation upgrades.</w:t>
      </w:r>
    </w:p>
    <w:p w14:paraId="2DE6F936" w14:textId="77777777" w:rsidR="000A4C5B" w:rsidRDefault="000A4C5B">
      <w:pPr>
        <w:rPr>
          <w:b/>
          <w:color w:val="003366"/>
          <w:sz w:val="24"/>
        </w:rPr>
      </w:pPr>
    </w:p>
    <w:p w14:paraId="3E13A3C2" w14:textId="1CC0DCE5" w:rsidR="00B71D5B" w:rsidRDefault="00000000">
      <w:r>
        <w:rPr>
          <w:b/>
          <w:color w:val="003366"/>
          <w:sz w:val="24"/>
        </w:rPr>
        <w:t>3. Electrical and Mechanical Safety</w:t>
      </w:r>
    </w:p>
    <w:p w14:paraId="127E1D06" w14:textId="77777777" w:rsidR="00B71D5B" w:rsidRDefault="00000000">
      <w:pPr>
        <w:spacing w:after="120"/>
        <w:jc w:val="both"/>
      </w:pPr>
      <w:r>
        <w:t>All Orion A1 robots employ redundant grounding and insulation verified under IEC 60204‑1. Ground continuity must be validated before energizing any system bus.</w:t>
      </w:r>
    </w:p>
    <w:p w14:paraId="0B2C36F7" w14:textId="77777777" w:rsidR="00B71D5B" w:rsidRDefault="00000000">
      <w:pPr>
        <w:spacing w:after="120"/>
        <w:jc w:val="both"/>
      </w:pPr>
      <w:r>
        <w:t>Mechanical safety compliance mandates torque limits across all actuators. Each joint’s maximum rated torque is factory-calibrated and monitored by embedded strain sensors.</w:t>
      </w:r>
    </w:p>
    <w:p w14:paraId="3A4555A8" w14:textId="77777777" w:rsidR="00B71D5B" w:rsidRDefault="00000000">
      <w:pPr>
        <w:spacing w:after="120"/>
        <w:jc w:val="both"/>
      </w:pPr>
      <w:r>
        <w:t>Warning: Operators must maintain a minimum clearance of 0.5 m from active joints during motion tests. Protective barriers and visual warning lights must remain active during all calibration operations.</w:t>
      </w:r>
    </w:p>
    <w:p w14:paraId="7BD6C25C" w14:textId="77777777" w:rsidR="000A4C5B" w:rsidRDefault="000A4C5B">
      <w:pPr>
        <w:rPr>
          <w:b/>
          <w:color w:val="003366"/>
          <w:sz w:val="24"/>
        </w:rPr>
      </w:pPr>
    </w:p>
    <w:p w14:paraId="10F3E327" w14:textId="76F6F9B6" w:rsidR="00B71D5B" w:rsidRDefault="00000000">
      <w:r>
        <w:rPr>
          <w:b/>
          <w:color w:val="003366"/>
          <w:sz w:val="24"/>
        </w:rPr>
        <w:t>4. Software and Firmware Compliance</w:t>
      </w:r>
    </w:p>
    <w:p w14:paraId="775E0FD4" w14:textId="77777777" w:rsidR="00B71D5B" w:rsidRDefault="00000000">
      <w:pPr>
        <w:spacing w:after="120"/>
        <w:jc w:val="both"/>
      </w:pPr>
      <w:r>
        <w:t>Firmware integrity and traceability form the foundation of Orion’s safety certification. Each firmware release undergoes digital signature verification using SHA‑256 cryptographic hashing.</w:t>
      </w:r>
    </w:p>
    <w:p w14:paraId="6E922ED9" w14:textId="77777777" w:rsidR="00B71D5B" w:rsidRDefault="00000000">
      <w:pPr>
        <w:spacing w:after="120"/>
        <w:jc w:val="both"/>
      </w:pPr>
      <w:r>
        <w:t>Version control procedures comply with IEC 61508 and internal standard OSS‑102. Change management includes peer review, automated regression testing, and cross‑signing by the Orion Firmware Authority (OFA).</w:t>
      </w:r>
    </w:p>
    <w:tbl>
      <w:tblPr>
        <w:tblStyle w:val="GridTable4-Accent6"/>
        <w:tblW w:w="0" w:type="auto"/>
        <w:tblLook w:val="04A0" w:firstRow="1" w:lastRow="0" w:firstColumn="1" w:lastColumn="0" w:noHBand="0" w:noVBand="1"/>
      </w:tblPr>
      <w:tblGrid>
        <w:gridCol w:w="2484"/>
        <w:gridCol w:w="2484"/>
        <w:gridCol w:w="2484"/>
        <w:gridCol w:w="2484"/>
      </w:tblGrid>
      <w:tr w:rsidR="00B71D5B" w14:paraId="21B72FA4" w14:textId="77777777" w:rsidTr="000A4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91C3E2E" w14:textId="77777777" w:rsidR="00B71D5B" w:rsidRDefault="00000000" w:rsidP="000A4C5B">
            <w:pPr>
              <w:spacing w:line="360" w:lineRule="auto"/>
            </w:pPr>
            <w:r>
              <w:t>Clause</w:t>
            </w:r>
          </w:p>
        </w:tc>
        <w:tc>
          <w:tcPr>
            <w:tcW w:w="2484" w:type="dxa"/>
          </w:tcPr>
          <w:p w14:paraId="4B8A5496" w14:textId="77777777" w:rsidR="00B71D5B" w:rsidRDefault="00000000" w:rsidP="000A4C5B">
            <w:pPr>
              <w:spacing w:line="360" w:lineRule="auto"/>
              <w:cnfStyle w:val="100000000000" w:firstRow="1" w:lastRow="0" w:firstColumn="0" w:lastColumn="0" w:oddVBand="0" w:evenVBand="0" w:oddHBand="0" w:evenHBand="0" w:firstRowFirstColumn="0" w:firstRowLastColumn="0" w:lastRowFirstColumn="0" w:lastRowLastColumn="0"/>
            </w:pPr>
            <w:r>
              <w:t>Requirement</w:t>
            </w:r>
          </w:p>
        </w:tc>
        <w:tc>
          <w:tcPr>
            <w:tcW w:w="2484" w:type="dxa"/>
          </w:tcPr>
          <w:p w14:paraId="14DBCB4C" w14:textId="77777777" w:rsidR="00B71D5B" w:rsidRDefault="00000000" w:rsidP="000A4C5B">
            <w:pPr>
              <w:spacing w:line="360" w:lineRule="auto"/>
              <w:cnfStyle w:val="100000000000" w:firstRow="1" w:lastRow="0" w:firstColumn="0" w:lastColumn="0" w:oddVBand="0" w:evenVBand="0" w:oddHBand="0" w:evenHBand="0" w:firstRowFirstColumn="0" w:firstRowLastColumn="0" w:lastRowFirstColumn="0" w:lastRowLastColumn="0"/>
            </w:pPr>
            <w:r>
              <w:t>Verification</w:t>
            </w:r>
          </w:p>
        </w:tc>
        <w:tc>
          <w:tcPr>
            <w:tcW w:w="2484" w:type="dxa"/>
          </w:tcPr>
          <w:p w14:paraId="4F12DD0E" w14:textId="77777777" w:rsidR="00B71D5B" w:rsidRDefault="00000000" w:rsidP="000A4C5B">
            <w:pPr>
              <w:spacing w:line="360" w:lineRule="auto"/>
              <w:cnfStyle w:val="100000000000" w:firstRow="1" w:lastRow="0" w:firstColumn="0" w:lastColumn="0" w:oddVBand="0" w:evenVBand="0" w:oddHBand="0" w:evenHBand="0" w:firstRowFirstColumn="0" w:firstRowLastColumn="0" w:lastRowFirstColumn="0" w:lastRowLastColumn="0"/>
            </w:pPr>
            <w:r>
              <w:t>Status</w:t>
            </w:r>
          </w:p>
        </w:tc>
      </w:tr>
      <w:tr w:rsidR="00B71D5B" w14:paraId="2A939EC3"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BAB59FC" w14:textId="77777777" w:rsidR="00B71D5B" w:rsidRDefault="00000000" w:rsidP="000A4C5B">
            <w:pPr>
              <w:spacing w:line="360" w:lineRule="auto"/>
            </w:pPr>
            <w:r>
              <w:t>ISO 13849‑1 §4</w:t>
            </w:r>
          </w:p>
        </w:tc>
        <w:tc>
          <w:tcPr>
            <w:tcW w:w="2484" w:type="dxa"/>
          </w:tcPr>
          <w:p w14:paraId="47A7BCE3"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Functional safety validation</w:t>
            </w:r>
          </w:p>
        </w:tc>
        <w:tc>
          <w:tcPr>
            <w:tcW w:w="2484" w:type="dxa"/>
          </w:tcPr>
          <w:p w14:paraId="09062DFB"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Automated test harness</w:t>
            </w:r>
          </w:p>
        </w:tc>
        <w:tc>
          <w:tcPr>
            <w:tcW w:w="2484" w:type="dxa"/>
          </w:tcPr>
          <w:p w14:paraId="4D1E9DAC"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Compliant</w:t>
            </w:r>
          </w:p>
        </w:tc>
      </w:tr>
      <w:tr w:rsidR="00B71D5B" w14:paraId="0182B0E9" w14:textId="77777777" w:rsidTr="000A4C5B">
        <w:tc>
          <w:tcPr>
            <w:cnfStyle w:val="001000000000" w:firstRow="0" w:lastRow="0" w:firstColumn="1" w:lastColumn="0" w:oddVBand="0" w:evenVBand="0" w:oddHBand="0" w:evenHBand="0" w:firstRowFirstColumn="0" w:firstRowLastColumn="0" w:lastRowFirstColumn="0" w:lastRowLastColumn="0"/>
            <w:tcW w:w="2484" w:type="dxa"/>
          </w:tcPr>
          <w:p w14:paraId="7C3E590E" w14:textId="77777777" w:rsidR="00B71D5B" w:rsidRDefault="00000000" w:rsidP="000A4C5B">
            <w:pPr>
              <w:spacing w:line="360" w:lineRule="auto"/>
            </w:pPr>
            <w:r>
              <w:t>IEC 61508 §7</w:t>
            </w:r>
          </w:p>
        </w:tc>
        <w:tc>
          <w:tcPr>
            <w:tcW w:w="2484" w:type="dxa"/>
          </w:tcPr>
          <w:p w14:paraId="7EEB7374"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Safety integrity monitoring</w:t>
            </w:r>
          </w:p>
        </w:tc>
        <w:tc>
          <w:tcPr>
            <w:tcW w:w="2484" w:type="dxa"/>
          </w:tcPr>
          <w:p w14:paraId="29B935A2"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Checksum comparison</w:t>
            </w:r>
          </w:p>
        </w:tc>
        <w:tc>
          <w:tcPr>
            <w:tcW w:w="2484" w:type="dxa"/>
          </w:tcPr>
          <w:p w14:paraId="414B5182"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Compliant</w:t>
            </w:r>
          </w:p>
        </w:tc>
      </w:tr>
      <w:tr w:rsidR="00B71D5B" w14:paraId="5E3ABF6C"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DC99577" w14:textId="77777777" w:rsidR="00B71D5B" w:rsidRDefault="00000000" w:rsidP="000A4C5B">
            <w:pPr>
              <w:spacing w:line="360" w:lineRule="auto"/>
            </w:pPr>
            <w:r>
              <w:t>ISO 10218‑1 §5</w:t>
            </w:r>
          </w:p>
        </w:tc>
        <w:tc>
          <w:tcPr>
            <w:tcW w:w="2484" w:type="dxa"/>
          </w:tcPr>
          <w:p w14:paraId="0977C044"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Physical safety zones</w:t>
            </w:r>
          </w:p>
        </w:tc>
        <w:tc>
          <w:tcPr>
            <w:tcW w:w="2484" w:type="dxa"/>
          </w:tcPr>
          <w:p w14:paraId="52179B00"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Simulation verification</w:t>
            </w:r>
          </w:p>
        </w:tc>
        <w:tc>
          <w:tcPr>
            <w:tcW w:w="2484" w:type="dxa"/>
          </w:tcPr>
          <w:p w14:paraId="6EA22A39"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Compliant</w:t>
            </w:r>
          </w:p>
        </w:tc>
      </w:tr>
      <w:tr w:rsidR="00B71D5B" w14:paraId="565E90EC" w14:textId="77777777" w:rsidTr="000A4C5B">
        <w:tc>
          <w:tcPr>
            <w:cnfStyle w:val="001000000000" w:firstRow="0" w:lastRow="0" w:firstColumn="1" w:lastColumn="0" w:oddVBand="0" w:evenVBand="0" w:oddHBand="0" w:evenHBand="0" w:firstRowFirstColumn="0" w:firstRowLastColumn="0" w:lastRowFirstColumn="0" w:lastRowLastColumn="0"/>
            <w:tcW w:w="2484" w:type="dxa"/>
          </w:tcPr>
          <w:p w14:paraId="0ECE6FAC" w14:textId="77777777" w:rsidR="00B71D5B" w:rsidRDefault="00000000" w:rsidP="000A4C5B">
            <w:pPr>
              <w:spacing w:line="360" w:lineRule="auto"/>
            </w:pPr>
            <w:r>
              <w:t>CE Machinery Directive §1.2.1</w:t>
            </w:r>
          </w:p>
        </w:tc>
        <w:tc>
          <w:tcPr>
            <w:tcW w:w="2484" w:type="dxa"/>
          </w:tcPr>
          <w:p w14:paraId="209EE05E"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Emergency stop function</w:t>
            </w:r>
          </w:p>
        </w:tc>
        <w:tc>
          <w:tcPr>
            <w:tcW w:w="2484" w:type="dxa"/>
          </w:tcPr>
          <w:p w14:paraId="0A12498C"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Field testing</w:t>
            </w:r>
          </w:p>
        </w:tc>
        <w:tc>
          <w:tcPr>
            <w:tcW w:w="2484" w:type="dxa"/>
          </w:tcPr>
          <w:p w14:paraId="7A9C39B3" w14:textId="77777777" w:rsidR="00B71D5B" w:rsidRDefault="00000000" w:rsidP="000A4C5B">
            <w:pPr>
              <w:spacing w:line="360" w:lineRule="auto"/>
              <w:cnfStyle w:val="000000000000" w:firstRow="0" w:lastRow="0" w:firstColumn="0" w:lastColumn="0" w:oddVBand="0" w:evenVBand="0" w:oddHBand="0" w:evenHBand="0" w:firstRowFirstColumn="0" w:firstRowLastColumn="0" w:lastRowFirstColumn="0" w:lastRowLastColumn="0"/>
            </w:pPr>
            <w:r>
              <w:t>Compliant</w:t>
            </w:r>
          </w:p>
        </w:tc>
      </w:tr>
      <w:tr w:rsidR="00B71D5B" w14:paraId="26FC9025" w14:textId="77777777" w:rsidTr="000A4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4EA822F" w14:textId="77777777" w:rsidR="00B71D5B" w:rsidRDefault="00000000" w:rsidP="000A4C5B">
            <w:pPr>
              <w:spacing w:line="360" w:lineRule="auto"/>
            </w:pPr>
            <w:r>
              <w:t>GDPR §25</w:t>
            </w:r>
          </w:p>
        </w:tc>
        <w:tc>
          <w:tcPr>
            <w:tcW w:w="2484" w:type="dxa"/>
          </w:tcPr>
          <w:p w14:paraId="3390ED63"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User data minimization</w:t>
            </w:r>
          </w:p>
        </w:tc>
        <w:tc>
          <w:tcPr>
            <w:tcW w:w="2484" w:type="dxa"/>
          </w:tcPr>
          <w:p w14:paraId="59EFBE2A"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Audit report</w:t>
            </w:r>
          </w:p>
        </w:tc>
        <w:tc>
          <w:tcPr>
            <w:tcW w:w="2484" w:type="dxa"/>
          </w:tcPr>
          <w:p w14:paraId="5D5F2ADF" w14:textId="77777777" w:rsidR="00B71D5B" w:rsidRDefault="00000000" w:rsidP="000A4C5B">
            <w:pPr>
              <w:spacing w:line="360" w:lineRule="auto"/>
              <w:cnfStyle w:val="000000100000" w:firstRow="0" w:lastRow="0" w:firstColumn="0" w:lastColumn="0" w:oddVBand="0" w:evenVBand="0" w:oddHBand="1" w:evenHBand="0" w:firstRowFirstColumn="0" w:firstRowLastColumn="0" w:lastRowFirstColumn="0" w:lastRowLastColumn="0"/>
            </w:pPr>
            <w:r>
              <w:t>Compliant</w:t>
            </w:r>
          </w:p>
        </w:tc>
      </w:tr>
    </w:tbl>
    <w:p w14:paraId="1AB6EEE1" w14:textId="77777777" w:rsidR="000A4C5B" w:rsidRDefault="000A4C5B">
      <w:pPr>
        <w:rPr>
          <w:b/>
          <w:color w:val="003366"/>
          <w:sz w:val="24"/>
        </w:rPr>
      </w:pPr>
    </w:p>
    <w:p w14:paraId="42329AD5" w14:textId="4D463DA0" w:rsidR="00B71D5B" w:rsidRDefault="00000000">
      <w:r>
        <w:rPr>
          <w:b/>
          <w:color w:val="003366"/>
          <w:sz w:val="24"/>
        </w:rPr>
        <w:t>5. Reporting and Certification</w:t>
      </w:r>
    </w:p>
    <w:p w14:paraId="2A6AAA7B" w14:textId="77777777" w:rsidR="00B71D5B" w:rsidRDefault="00000000">
      <w:pPr>
        <w:spacing w:after="120"/>
        <w:jc w:val="both"/>
      </w:pPr>
      <w:r>
        <w:t>Incident reporting is mandatory for all observed deviations, including minor system faults or near‑misses. Reports must be submitted through the Orion Safety Portal within 24 hours.</w:t>
      </w:r>
    </w:p>
    <w:p w14:paraId="591B0700" w14:textId="77777777" w:rsidR="00B71D5B" w:rsidRDefault="00000000">
      <w:pPr>
        <w:spacing w:after="120"/>
        <w:jc w:val="both"/>
      </w:pPr>
      <w:r>
        <w:t>Certification audits occur annually under ISO 10218‑1 supervision. Third‑party assessors verify documentation, hardware integrity, and procedural adherence.</w:t>
      </w:r>
    </w:p>
    <w:p w14:paraId="7CE86E6D" w14:textId="77777777" w:rsidR="00B71D5B" w:rsidRDefault="00000000">
      <w:pPr>
        <w:spacing w:after="120"/>
        <w:jc w:val="both"/>
      </w:pPr>
      <w:r>
        <w:t>Certification renewals require completion of mechanical inspection, firmware validation, and operator training verification.</w:t>
      </w:r>
    </w:p>
    <w:p w14:paraId="7BE14D38" w14:textId="77777777" w:rsidR="00B71D5B" w:rsidRDefault="00000000">
      <w:pPr>
        <w:spacing w:after="120"/>
        <w:jc w:val="both"/>
      </w:pPr>
      <w:r>
        <w:t>Approved by: _________________________</w:t>
      </w:r>
    </w:p>
    <w:p w14:paraId="0D5C66B1" w14:textId="77777777" w:rsidR="00B71D5B" w:rsidRDefault="00000000">
      <w:pPr>
        <w:spacing w:after="120"/>
        <w:jc w:val="both"/>
      </w:pPr>
      <w:r>
        <w:t>Date: ________________________________</w:t>
      </w:r>
    </w:p>
    <w:sectPr w:rsidR="00B71D5B"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6DE1" w14:textId="77777777" w:rsidR="00CC66B3" w:rsidRDefault="00CC66B3">
      <w:pPr>
        <w:spacing w:after="0" w:line="240" w:lineRule="auto"/>
      </w:pPr>
      <w:r>
        <w:separator/>
      </w:r>
    </w:p>
  </w:endnote>
  <w:endnote w:type="continuationSeparator" w:id="0">
    <w:p w14:paraId="47CF5337" w14:textId="77777777" w:rsidR="00CC66B3" w:rsidRDefault="00CC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C88D" w14:textId="77777777" w:rsidR="000A4C5B" w:rsidRDefault="000A4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8604" w14:textId="77777777" w:rsidR="00B71D5B" w:rsidRDefault="00000000">
    <w:pPr>
      <w:pStyle w:val="Footer"/>
      <w:jc w:val="center"/>
    </w:pPr>
    <w:r>
      <w:rPr>
        <w:color w:val="808080"/>
        <w:sz w:val="18"/>
      </w:rPr>
      <w:fldChar w:fldCharType="begin"/>
    </w:r>
    <w:r>
      <w:rPr>
        <w:color w:val="808080"/>
        <w:sz w:val="18"/>
      </w:rPr>
      <w:instrText>PAGE</w:instrText>
    </w:r>
    <w:r w:rsidR="000A4C5B">
      <w:rPr>
        <w:color w:val="808080"/>
        <w:sz w:val="18"/>
      </w:rPr>
      <w:fldChar w:fldCharType="separate"/>
    </w:r>
    <w:r w:rsidR="000A4C5B">
      <w:rPr>
        <w:noProof/>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F17A" w14:textId="77777777" w:rsidR="000A4C5B" w:rsidRDefault="000A4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C10D" w14:textId="77777777" w:rsidR="00CC66B3" w:rsidRDefault="00CC66B3">
      <w:pPr>
        <w:spacing w:after="0" w:line="240" w:lineRule="auto"/>
      </w:pPr>
      <w:r>
        <w:separator/>
      </w:r>
    </w:p>
  </w:footnote>
  <w:footnote w:type="continuationSeparator" w:id="0">
    <w:p w14:paraId="114731F3" w14:textId="77777777" w:rsidR="00CC66B3" w:rsidRDefault="00CC6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A415" w14:textId="229E5247" w:rsidR="000A4C5B" w:rsidRDefault="00CC66B3">
    <w:pPr>
      <w:pStyle w:val="Header"/>
    </w:pPr>
    <w:r>
      <w:rPr>
        <w:noProof/>
      </w:rPr>
      <w:pict w14:anchorId="08B99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98635" o:spid="_x0000_s1027" type="#_x0000_t75" alt="" style="position:absolute;margin-left:0;margin-top:0;width:496.6pt;height:496.6pt;z-index:-251652096;mso-wrap-edited:f;mso-width-percent:0;mso-height-percent:0;mso-position-horizontal:center;mso-position-horizontal-relative:margin;mso-position-vertical:center;mso-position-vertical-relative:margin;mso-width-percent:0;mso-height-percent:0" o:allowincell="f">
          <v:imagedata r:id="rId1" o:title="ChatGPT Image Oct 20, 2025, 02_00_12 PM"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9BD9" w14:textId="2548705D" w:rsidR="00B71D5B" w:rsidRDefault="00CC66B3">
    <w:pPr>
      <w:pStyle w:val="Header"/>
    </w:pPr>
    <w:r>
      <w:rPr>
        <w:b/>
        <w:noProof/>
        <w:color w:val="003366"/>
        <w:sz w:val="18"/>
      </w:rPr>
      <w:pict w14:anchorId="39C58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98636" o:spid="_x0000_s1026" type="#_x0000_t75" alt="" style="position:absolute;margin-left:0;margin-top:0;width:496.6pt;height:496.6pt;z-index:-251649024;mso-wrap-edited:f;mso-width-percent:0;mso-height-percent:0;mso-position-horizontal:center;mso-position-horizontal-relative:margin;mso-position-vertical:center;mso-position-vertical-relative:margin;mso-width-percent:0;mso-height-percent:0" o:allowincell="f">
          <v:imagedata r:id="rId1" o:title="ChatGPT Image Oct 20, 2025, 02_00_12 PM" gain="19661f" blacklevel="22938f"/>
        </v:shape>
      </w:pict>
    </w:r>
    <w:r w:rsidR="00000000">
      <w:rPr>
        <w:b/>
        <w:color w:val="003366"/>
        <w:sz w:val="18"/>
      </w:rPr>
      <w:t>Safety and Compliance Sheet – Orion Robotics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C17B" w14:textId="0C6591FC" w:rsidR="000A4C5B" w:rsidRDefault="00CC66B3">
    <w:pPr>
      <w:pStyle w:val="Header"/>
    </w:pPr>
    <w:r>
      <w:rPr>
        <w:noProof/>
      </w:rPr>
      <w:pict w14:anchorId="6B6B1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98634" o:spid="_x0000_s1025" type="#_x0000_t75" alt="" style="position:absolute;margin-left:0;margin-top:0;width:496.6pt;height:496.6pt;z-index:-251655168;mso-wrap-edited:f;mso-width-percent:0;mso-height-percent:0;mso-position-horizontal:center;mso-position-horizontal-relative:margin;mso-position-vertical:center;mso-position-vertical-relative:margin;mso-width-percent:0;mso-height-percent:0" o:allowincell="f">
          <v:imagedata r:id="rId1" o:title="ChatGPT Image Oct 20, 2025, 02_00_12 PM"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064117">
    <w:abstractNumId w:val="8"/>
  </w:num>
  <w:num w:numId="2" w16cid:durableId="2062240217">
    <w:abstractNumId w:val="6"/>
  </w:num>
  <w:num w:numId="3" w16cid:durableId="1420831609">
    <w:abstractNumId w:val="5"/>
  </w:num>
  <w:num w:numId="4" w16cid:durableId="2146582544">
    <w:abstractNumId w:val="4"/>
  </w:num>
  <w:num w:numId="5" w16cid:durableId="1915313214">
    <w:abstractNumId w:val="7"/>
  </w:num>
  <w:num w:numId="6" w16cid:durableId="1559514638">
    <w:abstractNumId w:val="3"/>
  </w:num>
  <w:num w:numId="7" w16cid:durableId="514073333">
    <w:abstractNumId w:val="2"/>
  </w:num>
  <w:num w:numId="8" w16cid:durableId="1495487208">
    <w:abstractNumId w:val="1"/>
  </w:num>
  <w:num w:numId="9" w16cid:durableId="146743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5B"/>
    <w:rsid w:val="0015074B"/>
    <w:rsid w:val="0029639D"/>
    <w:rsid w:val="00326F90"/>
    <w:rsid w:val="00470AC1"/>
    <w:rsid w:val="00AA1D8D"/>
    <w:rsid w:val="00B47730"/>
    <w:rsid w:val="00B71D5B"/>
    <w:rsid w:val="00CB0664"/>
    <w:rsid w:val="00CC6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D5E5E2"/>
  <w14:defaultImageDpi w14:val="300"/>
  <w15:docId w15:val="{5D491C40-6594-3449-9823-759C35974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0A4C5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A4C5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0A4C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1">
    <w:name w:val="Grid Table 5 Dark Accent 1"/>
    <w:basedOn w:val="TableNormal"/>
    <w:uiPriority w:val="50"/>
    <w:rsid w:val="000A4C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Menaf Gul</cp:lastModifiedBy>
  <cp:revision>2</cp:revision>
  <dcterms:created xsi:type="dcterms:W3CDTF">2013-12-23T23:15:00Z</dcterms:created>
  <dcterms:modified xsi:type="dcterms:W3CDTF">2025-10-20T12:00:00Z</dcterms:modified>
  <cp:category/>
</cp:coreProperties>
</file>