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DMFT for Gradient Starvation</w:t>
      </w:r>
    </w:p>
    <w:p>
      <w:pPr>
        <w:jc w:val="center"/>
      </w:pPr>
      <w:r>
        <w:rPr>
          <w:i/>
        </w:rPr>
        <w:t>Unbiased Reviewer-Style Assessment of Feasibility, Risks, and the Strongest Research Path</w:t>
      </w:r>
    </w:p>
    <w:tbl>
      <w:tblPr>
        <w:tblW w:type="auto" w:w="0"/>
        <w:tblLook w:firstColumn="1" w:firstRow="1" w:lastColumn="0" w:lastRow="0" w:noHBand="0" w:noVBand="1" w:val="04A0"/>
      </w:tblPr>
      <w:tblGrid>
        <w:gridCol w:w="9936"/>
      </w:tblGrid>
      <w:tr>
        <w:tc>
          <w:tcPr>
            <w:tcW w:type="dxa" w:w="9936"/>
            <w:shd w:fill="EAF2F8"/>
          </w:tcPr>
          <w:p>
            <w:pPr>
              <w:jc w:val="center"/>
            </w:pPr>
            <w:r>
              <w:rPr>
                <w:b/>
              </w:rPr>
              <w:t>CENTRAL VERDICT</w:t>
            </w:r>
          </w:p>
          <w:p>
            <w:pPr>
              <w:jc w:val="center"/>
            </w:pPr>
            <w:r>
              <w:rPr>
                <w:b/>
              </w:rPr>
              <w:t>DMFT is a credible tool for gradient starvation, but the current mathematical framing should be redesigned before committing to the full derivation.</w:t>
            </w:r>
          </w:p>
        </w:tc>
      </w:tr>
    </w:tbl>
    <w:p>
      <w:pPr>
        <w:jc w:val="center"/>
      </w:pPr>
      <w:r>
        <w:rPr>
          <w:b/>
        </w:rPr>
        <w:t>Overall estimate: ~45% that DMFT becomes the central tool in a defensible publishable result; ~60% if narrowed to a controlled two-feature linear/mildly nonlinear RNN.</w:t>
      </w:r>
    </w:p>
    <w:p>
      <w:r>
        <w:br w:type="page"/>
      </w:r>
    </w:p>
    <w:p>
      <w:pPr>
        <w:pStyle w:val="Heading1"/>
      </w:pPr>
      <w:r>
        <w:t>1. Executive Assessment</w:t>
      </w:r>
    </w:p>
    <w:p>
      <w:r>
        <w:t>The supplied research plan explicitly presents itself as a research plan rather than a finished proof. It proposes moving beyond the NTK into rich-regime feature learning, with recurrence and temporal separation as the intended novelty. The companion proposal instead argues that gradient starvation breaks exchangeability and therefore standard DMFT cannot represent the phenomenon, motivating a two-population weight-space coarse-graining.</w:t>
      </w:r>
    </w:p>
    <w:p>
      <w:r>
        <w:t>The strongest reviewer-level conclusion is that DMFT itself is not the main weakness. The main weakness is the present definition of the macroscopic objects and the causal notion of starvation. A successful project should track feature- or mode-level overlaps, distinguish sequence time from optimization time, and demonstrate that the strong feature actively suppresses the weak feature relative to a matched weak-only counterfactual.</w:t>
      </w:r>
    </w:p>
    <w:p>
      <w:pPr>
        <w:pStyle w:val="Heading1"/>
      </w:pPr>
      <w:r>
        <w:t>2. Critical Issue with the “DMFT Falls Short” Argument</w:t>
      </w:r>
    </w:p>
    <w:p>
      <w:r>
        <w:t>The companion proposal argues that standard DMFT relies on exchangeable units, gradient starvation creates strong and weak subpopulations, and therefore starvation breaks exchangeability. That inference is not generally valid.</w:t>
      </w:r>
    </w:p>
    <w:p>
      <w:r>
        <w:t>Exchangeability means that relabelling units does not change their joint probability law. It does not imply that every realized unit has identical parameters, identical feature alignment, or identical training trajectories. A permutation-symmetric population can develop heterogeneous or specialized realizations while remaining exchangeable at the distributional level.</w:t>
      </w:r>
    </w:p>
    <w:p>
      <w:r>
        <w:t>Reviewer conclusion: do not build the novelty claim around the assertion that gradient starvation itself breaks exchangeability and therefore lies outside DMFT. Gradient starvation may require richer order parameters, vector or matrix overlaps, mixture distributions, or explicit populations, but it does not inherently invalidate DMFT.</w:t>
      </w:r>
    </w:p>
    <w:p>
      <w:pPr>
        <w:pStyle w:val="Heading1"/>
      </w:pPr>
      <w:r>
        <w:t>3. Why DMFT Is Still Plausible</w:t>
      </w:r>
    </w:p>
    <w:p>
      <w:r>
        <w:t>Gradient starvation is genuinely dynamical: one predictive component changes the residual or gradient signal available to another during training. This is the type of high-dimensional trajectory that dynamical mean-field methods are designed to reduce to self-consistent macroscopic dynamics.</w:t>
      </w:r>
    </w:p>
    <w:p>
      <w:r>
        <w:t>Recurrence is a natural but technically difficult setting because it introduces temporal interactions, mode competition, and long-range credit assignment. The novelty must also be narrower than “feature competition beyond NTK,” since rich-regime feature competition already exists in feedforward theory. A stronger target is a quantitative recurrent law for how a strong temporal feature suppresses a weaker temporal feature, jointly controlled by feature strength and temporal separation.</w:t>
      </w:r>
    </w:p>
    <w:p>
      <w:pPr>
        <w:pStyle w:val="Heading1"/>
      </w:pPr>
      <w:r>
        <w:t>4. Separate Optimization Time from Sequence Time</w:t>
      </w:r>
    </w:p>
    <w:p>
      <w:r>
        <w:t>One conceptual issue in the research plan is that DMFT correlation functions over training time are treated as though they directly match the temporal gap between two positions in an RNN sequence. These are different axes.</w:t>
      </w:r>
    </w:p>
    <w:p>
      <w:r>
        <w:t>DMFT training time is indexed by optimization iterations τ and τ′. RNN sequence time is indexed by positions k and k′. A recurrent training theory may therefore require order parameters carrying both kinds of indices, schematically C(k,k′;τ,τ′). Backpropagation through time may additionally require forward-state correlations, backward response functions, feature indices, and possibly sample-level kernels. This expansion is one of the central technical risks.</w:t>
      </w:r>
    </w:p>
    <w:p>
      <w:pPr>
        <w:pStyle w:val="Heading1"/>
      </w:pPr>
      <w:r>
        <w:t>5. Problems with Representative-Weight Coarse-Graining</w:t>
      </w:r>
    </w:p>
    <w:p>
      <w:r>
        <w:t>The proposed method clusters scalar weights and selects one representative strong weight and one representative weak weight. This is difficult to justify because individual weights are not invariant scientific objects. The same network function can often be represented by very different individual weights under hidden-state coordinate transformations.</w:t>
      </w:r>
    </w:p>
    <w:p>
      <w:r>
        <w:t>One representative pair is also not automatically a DMFT concentration result. DMFT replaces a population by expectations or self-consistent statistics under a limiting distribution; it does not automatically justify replacing every strong×weak interaction by one selected pair. Correlation with average pairwise energy is a useful sanity check, but not a proof of sufficiency, invariance, or causality.</w:t>
      </w:r>
    </w:p>
    <w:p>
      <w:r>
        <w:t>The phrase “weight distribution under SGD noise” also needs a precise probability space: repeated initializations, minibatch sequences, repeated training runs, or a local time window all define different objects. Finally, any proposed energy must be linked to the feature-level gradient equations, otherwise the intervention may change optimization without specifically mitigating gradient starvation.</w:t>
      </w:r>
    </w:p>
    <w:p>
      <w:pPr>
        <w:pStyle w:val="Heading1"/>
      </w:pPr>
      <w:r>
        <w:t>6. Better Order Parameters: Track Features or Modes</w:t>
      </w:r>
    </w:p>
    <w:p>
      <w:r>
        <w:t>For a linear RNN, a more defensible macroscopic object is the learned temporal response rθ(ℓ)=vᵀW^ℓU. For task features or temporal filters ψ₁ and ψ₂, define feature overlaps mₐ(τ)=⟨rθ(τ),ψₐ⟩. Then m₁ measures acquisition of the strong feature and m₂ acquisition of the weak feature.</w:t>
      </w:r>
    </w:p>
    <w:p>
      <w:r>
        <w:t>Additional order parameters Qₐᵦ(τ,τ′) and Rₐᵦ(τ,τ′) can describe mode-mode correlations and responses. These objects are tied directly to task features, are more robust to hidden-state reparameterization, and are natural candidates for a DMFT or reduced dynamical closure.</w:t>
      </w:r>
    </w:p>
    <w:p>
      <w:pPr>
        <w:pStyle w:val="Heading1"/>
      </w:pPr>
      <w:r>
        <w:t>7. A Causal Definition of Gradient Starvation</w:t>
      </w:r>
    </w:p>
    <w:p>
      <w:r>
        <w:t>In an RNN, slow learning can arise because a cue is farther in the past, gradients decay with temporal distance, the cue has lower signal-to-noise, or a strong cue actively suppresses it. Only the last mechanism is gradient starvation.</w:t>
      </w:r>
    </w:p>
    <w:p>
      <w:r>
        <w:t>The essential counterfactual is weak-feature learning with the strong feature present versus the same weak feature with the strong feature removed. A learning-time metric can be ΔT₂=T₂(both)−T₂(weak-only). An instantaneous suppression quantity can compare the weak-feature overlap velocity in the two conditions. Active starvation requires negative additional suppression after controlling for sequence position, feature strength, noise, initialization, and ordinary temporal credit-assignment difficulty.</w:t>
      </w:r>
    </w:p>
    <w:p>
      <w:pPr>
        <w:pStyle w:val="Heading1"/>
      </w:pPr>
      <w:r>
        <w:t>8. Full DMFT May Not Be Necessary Initially</w:t>
      </w:r>
    </w:p>
    <w:p>
      <w:r>
        <w:t>A reviewer will ask what DMFT explains that a low-rank mode reduction does not. The safest path is to derive deterministic two-feature or two-mode dynamics first, test whether they already reproduce suppression, and then vary or remove the random recurrent bulk. Full DMFT earns its place if bulk statistics, SGD noise, finite-sample effects, or nonlinear recurrent-state statistics change the starvation phase boundary or prevent low-dimensional closure.</w:t>
      </w:r>
    </w:p>
    <w:p>
      <w:pPr>
        <w:pStyle w:val="Heading1"/>
      </w:pPr>
      <w:r>
        <w:t>9. Recommended Research Formulation</w:t>
      </w:r>
    </w:p>
    <w:p>
      <w:r>
        <w:t>Start with a controlled linear RNN hₖ₊₁=Whₖ+Uxₖ and fθ(x)=vᵀh_T. Construct a sequence task containing a strong temporal feature ψ₁ and weak temporal feature ψ₂, feature-strength ratio ρ=a₁/a₂, and temporal separation Δℓ=|ℓ₁−ℓ₂|.</w:t>
      </w:r>
    </w:p>
    <w:p>
      <w:r>
        <w:t>The central theoretical target is a phase boundary ρ_c(Δℓ,α,σ,...) separating regimes where both features learn, the weak feature is substantially delayed, and the weak feature is asymptotically starved.</w:t>
      </w:r>
    </w:p>
    <w:p>
      <w:r>
        <w:t>A realistic theorem-level target is: in a specified two-feature Gaussian sequence model and a stated asymptotic regime, show that the weak-feature overlap obeys a closed self-consistent dynamic containing a negative cross-coupling from the strong-feature overlap, and characterize how the learning-time penalty depends on feature-strength imbalance and temporal separation.</w:t>
      </w:r>
    </w:p>
    <w:p>
      <w:r>
        <w:t>This is already ambitious. Do not initially promise arbitrary nonlinear RNNs, arbitrary finite width, gated architectures, general sequence distributions, and a universal representative-weight regularizer.</w:t>
      </w:r>
    </w:p>
    <w:p>
      <w:pPr>
        <w:pStyle w:val="Heading1"/>
      </w:pPr>
      <w:r>
        <w:t>10. Final Recommendation</w:t>
      </w:r>
    </w:p>
    <w:p>
      <w:r>
        <w:t>Proceed with DMFT, but redesign the project before investing in the full derivation.</w:t>
      </w:r>
    </w:p>
    <w:p>
      <w:r>
        <w:t>Keep the two-feature recurrent setting, feature-strength and temporal-gap phase diagrams, and the idea of moving beyond NTK. Start with a linear Gaussian sequence model, track feature overlaps and mode covariances, define starvation counterfactually, and attempt a reduced two-mode ODE before full DMFT. Use DMFT when interactions with the random bulk or stochastic dynamics genuinely require it. Postpone nonlinear recurrence and finite-width corrections until the base mechanism closes cleanly. Drop or fundamentally reformulate the scalar-weight clustering and single representative-pair argument.</w:t>
      </w:r>
    </w:p>
    <w:p>
      <w:r>
        <w:t>Bottom line: DMFT itself is not the weak point. The present mathematical framing is. The strongest version of the project is a carefully controlled two-mode recurrent theory with a causal starvation phase boundary.</w:t>
      </w:r>
    </w:p>
    <w:p>
      <w:pPr>
        <w:pStyle w:val="Heading1"/>
      </w:pPr>
      <w:r>
        <w:t>Feasibility Summary</w:t>
      </w:r>
    </w:p>
    <w:tbl>
      <w:tblPr>
        <w:tblStyle w:val="TableGrid"/>
        <w:tblW w:type="auto" w:w="0"/>
        <w:tblLook w:firstColumn="1" w:firstRow="1" w:lastColumn="0" w:lastRow="0" w:noHBand="0" w:noVBand="1" w:val="04A0"/>
      </w:tblPr>
      <w:tblGrid>
        <w:gridCol w:w="4968"/>
        <w:gridCol w:w="4968"/>
      </w:tblGrid>
      <w:tr>
        <w:tc>
          <w:tcPr>
            <w:tcW w:type="dxa" w:w="4968"/>
            <w:shd w:fill="D9EAF7"/>
          </w:tcPr>
          <w:p>
            <w:r>
              <w:t>Target</w:t>
            </w:r>
          </w:p>
        </w:tc>
        <w:tc>
          <w:tcPr>
            <w:tcW w:type="dxa" w:w="4968"/>
            <w:shd w:fill="D9EAF7"/>
          </w:tcPr>
          <w:p>
            <w:r>
              <w:t>Estimated probability</w:t>
            </w:r>
          </w:p>
        </w:tc>
      </w:tr>
      <w:tr>
        <w:tc>
          <w:tcPr>
            <w:tcW w:type="dxa" w:w="4968"/>
          </w:tcPr>
          <w:p>
            <w:r>
              <w:t>DMFT compatible with gradient starvation</w:t>
            </w:r>
          </w:p>
        </w:tc>
        <w:tc>
          <w:tcPr>
            <w:tcW w:type="dxa" w:w="4968"/>
          </w:tcPr>
          <w:p>
            <w:r>
              <w:t>75%</w:t>
            </w:r>
          </w:p>
        </w:tc>
      </w:tr>
      <w:tr>
        <w:tc>
          <w:tcPr>
            <w:tcW w:type="dxa" w:w="4968"/>
          </w:tcPr>
          <w:p>
            <w:r>
              <w:t>Stylized two-feature linear RNN theory</w:t>
            </w:r>
          </w:p>
        </w:tc>
        <w:tc>
          <w:tcPr>
            <w:tcW w:type="dxa" w:w="4968"/>
          </w:tcPr>
          <w:p>
            <w:r>
              <w:t>60%</w:t>
            </w:r>
          </w:p>
        </w:tc>
      </w:tr>
      <w:tr>
        <w:tc>
          <w:tcPr>
            <w:tcW w:type="dxa" w:w="4968"/>
          </w:tcPr>
          <w:p>
            <w:r>
              <w:t>Causal starvation law</w:t>
            </w:r>
          </w:p>
        </w:tc>
        <w:tc>
          <w:tcPr>
            <w:tcW w:type="dxa" w:w="4968"/>
          </w:tcPr>
          <w:p>
            <w:r>
              <w:t>45%</w:t>
            </w:r>
          </w:p>
        </w:tc>
      </w:tr>
      <w:tr>
        <w:tc>
          <w:tcPr>
            <w:tcW w:type="dxa" w:w="4968"/>
          </w:tcPr>
          <w:p>
            <w:r>
              <w:t>Nonlinear RNN extension</w:t>
            </w:r>
          </w:p>
        </w:tc>
        <w:tc>
          <w:tcPr>
            <w:tcW w:type="dxa" w:w="4968"/>
          </w:tcPr>
          <w:p>
            <w:r>
              <w:t>30%</w:t>
            </w:r>
          </w:p>
        </w:tc>
      </w:tr>
      <w:tr>
        <w:tc>
          <w:tcPr>
            <w:tcW w:type="dxa" w:w="4968"/>
          </w:tcPr>
          <w:p>
            <w:r>
              <w:t>Finite-width recurrent correction</w:t>
            </w:r>
          </w:p>
        </w:tc>
        <w:tc>
          <w:tcPr>
            <w:tcW w:type="dxa" w:w="4968"/>
          </w:tcPr>
          <w:p>
            <w:r>
              <w:t>20%</w:t>
            </w:r>
          </w:p>
        </w:tc>
      </w:tr>
      <w:tr>
        <w:tc>
          <w:tcPr>
            <w:tcW w:type="dxa" w:w="4968"/>
          </w:tcPr>
          <w:p>
            <w:r>
              <w:t>Full original programme as written</w:t>
            </w:r>
          </w:p>
        </w:tc>
        <w:tc>
          <w:tcPr>
            <w:tcW w:type="dxa" w:w="4968"/>
          </w:tcPr>
          <w:p>
            <w:r>
              <w:t>15–25%</w:t>
            </w:r>
          </w:p>
        </w:tc>
      </w:tr>
      <w:tr>
        <w:tc>
          <w:tcPr>
            <w:tcW w:type="dxa" w:w="4968"/>
          </w:tcPr>
          <w:p>
            <w:r>
              <w:t>Representative-weight intervention as central contribution</w:t>
            </w:r>
          </w:p>
        </w:tc>
        <w:tc>
          <w:tcPr>
            <w:tcW w:type="dxa" w:w="4968"/>
          </w:tcPr>
          <w:p>
            <w:r>
              <w:t>10–15%</w:t>
            </w:r>
          </w:p>
        </w:tc>
      </w:tr>
    </w:tbl>
    <w:p>
      <w:pPr>
        <w:pStyle w:val="Heading1"/>
      </w:pPr>
      <w:r>
        <w:t>Go / No-Go Tests</w:t>
      </w:r>
    </w:p>
    <w:p>
      <w:pPr>
        <w:pStyle w:val="ListBullet"/>
      </w:pPr>
      <w:r>
        <w:t>Weak feature alone must be reliably learnable.</w:t>
      </w:r>
    </w:p>
    <w:p>
      <w:pPr>
        <w:pStyle w:val="ListBullet"/>
      </w:pPr>
      <w:r>
        <w:t>Adding the strong feature must measurably suppress the weak feature at matched lag and signal strength.</w:t>
      </w:r>
    </w:p>
    <w:p>
      <w:pPr>
        <w:pStyle w:val="ListBullet"/>
      </w:pPr>
      <w:r>
        <w:t>Suppression should be tested across width to determine whether it concentrates to a nonzero asymptotic effect.</w:t>
      </w:r>
    </w:p>
    <w:p>
      <w:pPr>
        <w:pStyle w:val="ListBullet"/>
      </w:pPr>
      <w:r>
        <w:t>A small set of feature overlaps should approximately close the dynamics; otherwise richer state variables are needed.</w:t>
      </w:r>
    </w:p>
    <w:p>
      <w:pPr>
        <w:pStyle w:val="ListBullet"/>
      </w:pPr>
      <w:r>
        <w:t>Vary or remove the random recurrent bulk to determine whether full DMFT adds explanatory power.</w:t>
      </w:r>
    </w:p>
    <w:p>
      <w:pPr>
        <w:pStyle w:val="ListBullet"/>
      </w:pPr>
      <w:r>
        <w:t>At every temporal gap, compare weak-only against both-feature conditions so ordinary memory difficulty is not mislabeled as starvation.</w:t>
      </w:r>
    </w:p>
    <w:p>
      <w:pPr>
        <w:pStyle w:val="Heading1"/>
      </w:pPr>
      <w:r>
        <w:t>Basis and Scope</w:t>
      </w:r>
    </w:p>
    <w:p>
      <w:r>
        <w:t>This assessment is grounded in the two supplied project documents. The first lays out the beyond-NTK recurrent DMFT programme and explicitly marks it as a research plan with risky steps. The second proposes stochastic weight clustering, strong/weak populations, representative-pair regularization, and the claim that gradient starvation breaks standard DMFT exchangeability.</w:t>
      </w:r>
    </w:p>
    <w:p>
      <w:r>
        <w:t>Where this report challenges those claims—especially the exchangeability argument, the use of scalar representative weights, the conflation of sequence and optimization time, and the definition of causal starvation—those points are reviewer-style technical analysis rather than claims established by the supplied documents themselves.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