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VELOOP Rewards — Final Consolidated Report</w:t>
      </w:r>
    </w:p>
    <w:p>
      <w:r>
        <w:t>Task 01 Revision 4 | 15 October 2026</w:t>
      </w:r>
    </w:p>
    <w:p>
      <w:r>
        <w:rPr>
          <w:b/>
        </w:rPr>
        <w:t xml:space="preserve">Non-negotiable evidence boundary. </w:t>
      </w:r>
      <w:r>
        <w:t>Every operational count and rate in this package comes from simulated records. No number should be described as actual VELOOP performance. Proposed business rules and inferred candidate links are not verified product facts.</w:t>
      </w:r>
    </w:p>
    <w:p>
      <w:pPr>
        <w:pStyle w:val="Heading1"/>
      </w:pPr>
      <w:r>
        <w:t>1. Scope and approach</w:t>
      </w:r>
    </w:p>
    <w:p>
      <w:r>
        <w:t>This revision addresses the review feedback by combining source-based product/competitor research, deeper analysis of the synthetic task/reward/wallet/withdrawal/referral/event tables, a working dashboard, executable SQL with outputs, and explicit reconciliation controls. Existing coverage, event-tracking, dictionary, KPI, data-quality, developer handoff, pipeline and governance artifacts are retained in the package.</w:t>
      </w:r>
    </w:p>
    <w:p>
      <w:pPr>
        <w:pStyle w:val="Heading1"/>
      </w:pPr>
      <w:r>
        <w:t>2. Main findings from synthetic data</w:t>
      </w:r>
    </w:p>
    <w:p>
      <w:pPr>
        <w:pStyle w:val="ListBullet"/>
      </w:pPr>
      <w:r>
        <w:t>Task activity: 6,000 rows; 3,069 completed; 1,058 completed and labelled valid; 2,011 completed but not labelled valid. The 34.47% validation share among completed rows is a test-data label diagnostic, not actual VELOOP validation performance.</w:t>
      </w:r>
    </w:p>
    <w:p>
      <w:pPr>
        <w:pStyle w:val="ListBullet"/>
      </w:pPr>
      <w:r>
        <w:t>Reward ledger: 5,000 rows across credited, pending, reversed and corrected states. Amounts must be reported by unit and status; a reward record is not automatically a wallet credit.</w:t>
      </w:r>
    </w:p>
    <w:p>
      <w:pPr>
        <w:pStyle w:val="ListBullet"/>
      </w:pPr>
      <w:r>
        <w:t>Wallet: 3,500 rows including 839 reversals. 286 rows have candidate parent links inferred from same-user/same-unit/prior-time matching and 553 remain unresolved/quarantined. Candidate matches are not authoritative lineage.</w:t>
      </w:r>
    </w:p>
    <w:p>
      <w:pPr>
        <w:pStyle w:val="ListBullet"/>
      </w:pPr>
      <w:r>
        <w:t>Withdrawals: 1,200 rows with 738 marked completed. Current status shares do not establish mature-cohort completion rates or service quality; use valid timestamp sequences and pending-age metrics.</w:t>
      </w:r>
    </w:p>
    <w:p>
      <w:pPr>
        <w:pStyle w:val="ListBullet"/>
      </w:pPr>
      <w:r>
        <w:t>Referrals: 900 rows with 453 carrying converted status. This is not a validated referral conversion or retention metric without explicit state/event semantics and fraud rules.</w:t>
      </w:r>
    </w:p>
    <w:p>
      <w:pPr>
        <w:pStyle w:val="ListBullet"/>
      </w:pPr>
      <w:r>
        <w:t>Feature events: 12,000 rows. Failure rates should use eligible event denominators; not_applicable must not be treated as success or failure.</w:t>
      </w:r>
    </w:p>
    <w:p>
      <w:pPr>
        <w:pStyle w:val="Heading1"/>
      </w:pPr>
      <w:r>
        <w:t>3. Reward economy and business rules</w:t>
      </w:r>
    </w:p>
    <w:p>
      <w:r>
        <w:t>The supplied synthetic tables contain VE, Gems, Tokens and XP; SVEs are mentioned in the assignment/product context but are not a separately measurable unit in these synthetic tables. There is no verified conversion schedule or monetary value. Product and Finance must approve VE/SVE definitions, effective-dated exchange rules, rounding, expiry, liability, redemption/burn semantics and reversal policy before financial-style aggregation is published.</w:t>
      </w:r>
    </w:p>
    <w:p>
      <w:pPr>
        <w:pStyle w:val="Heading1"/>
      </w:pPr>
      <w:r>
        <w:t>4. Market/competitor research and product implications</w:t>
      </w:r>
    </w:p>
    <w:p>
      <w:r>
        <w:t>Public competitor help pages show that reward transparency is operationally important: Swagbucks directs users to an activity ledger for tracking/credit, while Freecash differentiates unclaimed rewards from pending checks. The public VELOOP help centre covers earning, wallet/exchange, withdrawals and safety and labels some features as future. These sources support a recommendation to prioritize explainable reward states and feature availability metadata, not a claim about competitor internal performance. A third-party PayNXT360/ResearchAndMarkets summary forecasts growth in the broader Indian loyalty market; use only as directional context, not VELOOP TAM.</w:t>
      </w:r>
    </w:p>
    <w:p>
      <w:r>
        <w:t>Source URLs: https://help.swagbucks.com/hc/en-us/articles/205639584-How-do-I-earn-SB ; https://freecash.com/academy/en/support/offer/miscellaneous/how-to-claim-offer-rewards ; https://www.velooprewards.in/help-center ; https://www.researchandmarkets.com/report/india-loyalty-card-market</w:t>
      </w:r>
    </w:p>
    <w:p>
      <w:pPr>
        <w:pStyle w:val="Heading1"/>
      </w:pPr>
      <w:r>
        <w:t>5. Business priorities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Priority</w:t>
            </w:r>
          </w:p>
        </w:tc>
        <w:tc>
          <w:tcPr>
            <w:tcW w:type="dxa" w:w="3360"/>
          </w:tcPr>
          <w:p>
            <w:r>
              <w:t>Finding</w:t>
            </w:r>
          </w:p>
        </w:tc>
        <w:tc>
          <w:tcPr>
            <w:tcW w:type="dxa" w:w="3360"/>
          </w:tcPr>
          <w:p>
            <w:r>
              <w:t>Action / owner</w:t>
            </w:r>
          </w:p>
        </w:tc>
      </w:tr>
      <w:tr>
        <w:tc>
          <w:tcPr>
            <w:tcW w:type="dxa" w:w="3360"/>
          </w:tcPr>
          <w:p>
            <w:r>
              <w:t>P0</w:t>
            </w:r>
          </w:p>
        </w:tc>
        <w:tc>
          <w:tcPr>
            <w:tcW w:type="dxa" w:w="3360"/>
          </w:tcPr>
          <w:p>
            <w:r>
              <w:t>553 reversals unresolved; 286 candidate links unverified</w:t>
            </w:r>
          </w:p>
        </w:tc>
        <w:tc>
          <w:tcPr>
            <w:tcW w:type="dxa" w:w="3360"/>
          </w:tcPr>
          <w:p>
            <w:r>
              <w:t>Finance + Engineering: reconcile with source ledger; keep unresolved rows quarantined.</w:t>
            </w:r>
          </w:p>
        </w:tc>
      </w:tr>
      <w:tr>
        <w:tc>
          <w:tcPr>
            <w:tcW w:type="dxa" w:w="3360"/>
          </w:tcPr>
          <w:p>
            <w:r>
              <w:t>P0</w:t>
            </w:r>
          </w:p>
        </w:tc>
        <w:tc>
          <w:tcPr>
            <w:tcW w:type="dxa" w:w="3360"/>
          </w:tcPr>
          <w:p>
            <w:r>
              <w:t>Task completion is not validation or credit</w:t>
            </w:r>
          </w:p>
        </w:tc>
        <w:tc>
          <w:tcPr>
            <w:tcW w:type="dxa" w:w="3360"/>
          </w:tcPr>
          <w:p>
            <w:r>
              <w:t>Product + Engineering: instrument distinct lifecycle events, IDs, timestamps and partner references.</w:t>
            </w:r>
          </w:p>
        </w:tc>
      </w:tr>
      <w:tr>
        <w:tc>
          <w:tcPr>
            <w:tcW w:type="dxa" w:w="3360"/>
          </w:tcPr>
          <w:p>
            <w:r>
              <w:t>P0</w:t>
            </w:r>
          </w:p>
        </w:tc>
        <w:tc>
          <w:tcPr>
            <w:tcW w:type="dxa" w:w="3360"/>
          </w:tcPr>
          <w:p>
            <w:r>
              <w:t>Reward units and conversion semantics unverified</w:t>
            </w:r>
          </w:p>
        </w:tc>
        <w:tc>
          <w:tcPr>
            <w:tcW w:type="dxa" w:w="3360"/>
          </w:tcPr>
          <w:p>
            <w:r>
              <w:t>Product + Finance: approve VE/SVE definitions and effective-dated conversion/rounding rules.</w:t>
            </w:r>
          </w:p>
        </w:tc>
      </w:tr>
      <w:tr>
        <w:tc>
          <w:tcPr>
            <w:tcW w:type="dxa" w:w="3360"/>
          </w:tcPr>
          <w:p>
            <w:r>
              <w:t>P1</w:t>
            </w:r>
          </w:p>
        </w:tc>
        <w:tc>
          <w:tcPr>
            <w:tcW w:type="dxa" w:w="3360"/>
          </w:tcPr>
          <w:p>
            <w:r>
              <w:t>Withdrawal status alone does not explain delay</w:t>
            </w:r>
          </w:p>
        </w:tc>
        <w:tc>
          <w:tcPr>
            <w:tcW w:type="dxa" w:w="3360"/>
          </w:tcPr>
          <w:p>
            <w:r>
              <w:t>Operations: monitor pending age, median/P90 processing time and reason categories.</w:t>
            </w:r>
          </w:p>
        </w:tc>
      </w:tr>
      <w:tr>
        <w:tc>
          <w:tcPr>
            <w:tcW w:type="dxa" w:w="3360"/>
          </w:tcPr>
          <w:p>
            <w:r>
              <w:t>P1</w:t>
            </w:r>
          </w:p>
        </w:tc>
        <w:tc>
          <w:tcPr>
            <w:tcW w:type="dxa" w:w="3360"/>
          </w:tcPr>
          <w:p>
            <w:r>
              <w:t>Referral converted status lacks retention/fraud context</w:t>
            </w:r>
          </w:p>
        </w:tc>
        <w:tc>
          <w:tcPr>
            <w:tcW w:type="dxa" w:w="3360"/>
          </w:tcPr>
          <w:p>
            <w:r>
              <w:t>Product + Analytics: define activation and measure cohort retention and incentive cost.</w:t>
            </w:r>
          </w:p>
        </w:tc>
      </w:tr>
      <w:tr>
        <w:tc>
          <w:tcPr>
            <w:tcW w:type="dxa" w:w="3360"/>
          </w:tcPr>
          <w:p>
            <w:r>
              <w:t>P1</w:t>
            </w:r>
          </w:p>
        </w:tc>
        <w:tc>
          <w:tcPr>
            <w:tcW w:type="dxa" w:w="3360"/>
          </w:tcPr>
          <w:p>
            <w:r>
              <w:t>Feature failure denominator is ambiguous</w:t>
            </w:r>
          </w:p>
        </w:tc>
        <w:tc>
          <w:tcPr>
            <w:tcW w:type="dxa" w:w="3360"/>
          </w:tcPr>
          <w:p>
            <w:r>
              <w:t>Engineering + Analytics: define eligible-event denominators and event-specific error codes.</w:t>
            </w:r>
          </w:p>
        </w:tc>
      </w:tr>
    </w:tbl>
    <w:p>
      <w:pPr>
        <w:pStyle w:val="Heading1"/>
      </w:pPr>
      <w:r>
        <w:t>6. Working implementation outputs</w:t>
      </w:r>
    </w:p>
    <w:p>
      <w:pPr>
        <w:pStyle w:val="ListBullet"/>
      </w:pPr>
      <w:r>
        <w:t>31_Working_Analytics_Dashboard.xlsx — KPI cards, charts, business insights, and 11 SQL result sheets.</w:t>
      </w:r>
    </w:p>
    <w:p>
      <w:pPr>
        <w:pStyle w:val="ListBullet"/>
      </w:pPr>
      <w:r>
        <w:t>32_Working_Dashboard.html — interactive dashboard that opens locally in a modern browser; embedded synthetic records and categorical filtering.</w:t>
      </w:r>
    </w:p>
    <w:p>
      <w:pPr>
        <w:pStyle w:val="ListBullet"/>
      </w:pPr>
      <w:r>
        <w:t>30_Analytics_Queries.sql — 11 executable SQLite queries.</w:t>
      </w:r>
    </w:p>
    <w:p>
      <w:pPr>
        <w:pStyle w:val="ListBullet"/>
      </w:pPr>
      <w:r>
        <w:t>VELOOP_Analytics_Simulated.sqlite — database used for execution.</w:t>
      </w:r>
    </w:p>
    <w:p>
      <w:pPr>
        <w:pStyle w:val="ListBullet"/>
      </w:pPr>
      <w:r>
        <w:t>SQL_Result_Q01.csv through SQL_Result_Q11.csv and 33_SQL_Execution_Results.xlsx — query outputs.</w:t>
      </w:r>
    </w:p>
    <w:p>
      <w:pPr>
        <w:pStyle w:val="ListBullet"/>
      </w:pPr>
      <w:r>
        <w:t>34_Research_Insights_Action_Plan.docx — market/competitor research, limitations, insights, and recommendations.</w:t>
      </w:r>
    </w:p>
    <w:p>
      <w:pPr>
        <w:pStyle w:val="ListBullet"/>
      </w:pPr>
      <w:r>
        <w:t>VELOOP_Rewards_Corrected_Simulated_Workbook.xlsx — corrected synthetic test fixture; original workbook is not overwritten.</w:t>
      </w:r>
    </w:p>
    <w:p>
      <w:pPr>
        <w:pStyle w:val="Heading1"/>
      </w:pPr>
      <w:r>
        <w:t>7. Definition of completion and remaining limitation</w:t>
      </w:r>
    </w:p>
    <w:p>
      <w:r>
        <w:t>SQL query execution and dashboard artifacts are included. Synthetic timestamp anomalies were corrected in a working copy only. The wallet reversal problem is not fully resolved: 553 remain quarantined and 286 candidates require business confirmation. No production event stream, ledger, user interview sample or verified SVE conversion rule was supplied; those must be obtained before claims about real user behaviour, unit economics or production reliability can be made.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