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VELOOP Rewards — Research, Insights &amp; Business Action Plan</w:t>
      </w:r>
    </w:p>
    <w:p>
      <w:r>
        <w:t>Revision 4 • Prepared for Task 01 feedback • 15 October 2026</w:t>
      </w:r>
    </w:p>
    <w:p>
      <w:r>
        <w:rPr>
          <w:b/>
        </w:rPr>
        <w:t xml:space="preserve">Data authenticity statement. </w:t>
      </w:r>
      <w:r>
        <w:t>All operational metrics and charts in this package are derived from synthetic test tables. They are not VELOOP production performance, actual earnings, real wallet balances, real payout success, or verified user behaviour. The corrected workbook is a reproducible test fixture. It does not change any production system.</w:t>
      </w:r>
    </w:p>
    <w:p>
      <w:pPr>
        <w:pStyle w:val="Heading1"/>
      </w:pPr>
      <w:r>
        <w:t>1. Executive summary</w:t>
      </w:r>
    </w:p>
    <w:p>
      <w:pPr>
        <w:pStyle w:val="ListBullet"/>
      </w:pPr>
      <w:r>
        <w:t>The synthetic task table contains 6,000 activity rows. 3,069 rows are marked completed (51.1% of rows), while 1,058 rows are both completed and validation_status=valid (34.5% of completed rows). This is a status-quality diagnostic, not a user-level conversion rate.</w:t>
      </w:r>
    </w:p>
    <w:p>
      <w:pPr>
        <w:pStyle w:val="ListBullet"/>
      </w:pPr>
      <w:r>
        <w:t>The synthetic wallet table contains 839 reversal rows. 286 are algorithmic candidate parent links that require business confirmation; 553 remain unresolved/quarantined. Do not use these candidates as verified financial lineage.</w:t>
      </w:r>
    </w:p>
    <w:p>
      <w:pPr>
        <w:pStyle w:val="ListBullet"/>
      </w:pPr>
      <w:r>
        <w:t>The synthetic withdrawal table contains 1,200 rows; 738 are marked completed. Actual payout reliability and service-level performance cannot be inferred until event timestamps, amount units, method eligibility and source lineage are validated.</w:t>
      </w:r>
    </w:p>
    <w:p>
      <w:pPr>
        <w:pStyle w:val="ListBullet"/>
      </w:pPr>
      <w:r>
        <w:t>The highest-value next step is not to add more KPIs. It is to close the task-to-validation-to-credit lineage, reversal reconciliation, event idempotency, and unit semantics, then expose those controls in an operational dashboard.</w:t>
      </w:r>
    </w:p>
    <w:p>
      <w:pPr>
        <w:pStyle w:val="Heading1"/>
      </w:pPr>
      <w:r>
        <w:t>2. Market and competitor research</w:t>
      </w:r>
    </w:p>
    <w:p>
      <w:r>
        <w:t>Research method: public product/help pages were reviewed on 15 October 2026. Public sources establish visible product patterns, not competitor internal conversion rates or a definitive market share. Market-size estimates vary by provider methodology and should be used as directional context only.</w:t>
      </w:r>
    </w:p>
    <w:p>
      <w:pPr>
        <w:pStyle w:val="Heading2"/>
      </w:pPr>
      <w:r>
        <w:t>Market context</w:t>
      </w:r>
    </w:p>
    <w:p>
      <w:r>
        <w:t>PayNXT360 / ResearchAndMarkets’ Q2 2026 India loyalty-market summary estimates a 2025 market value of US$1.79 billion and projects approximately US$3.91 billion by 2030, with forecast growth of 16.6% CAGR from 2026–2030. This is a third-party estimate for the broader loyalty market, not VELOOP’s addressable market or a verified forecast. It signals a competitive environment where loyalty is increasingly tied to daily payments, commerce, and redemption utility. Source: https://www.researchandmarkets.com/report/india-loyalty-card-market</w:t>
      </w:r>
    </w:p>
    <w:p>
      <w:pPr>
        <w:pStyle w:val="Heading2"/>
      </w:pPr>
      <w:r>
        <w:t>Competitor patterns and what VELOOP can learn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Platform / evidence</w:t>
            </w:r>
          </w:p>
        </w:tc>
        <w:tc>
          <w:tcPr>
            <w:tcW w:type="dxa" w:w="3408"/>
          </w:tcPr>
          <w:p>
            <w:r>
              <w:t>Observed pattern</w:t>
            </w:r>
          </w:p>
        </w:tc>
        <w:tc>
          <w:tcPr>
            <w:tcW w:type="dxa" w:w="3408"/>
          </w:tcPr>
          <w:p>
            <w:r>
              <w:t>Action for VELOOP</w:t>
            </w:r>
          </w:p>
        </w:tc>
      </w:tr>
      <w:tr>
        <w:tc>
          <w:tcPr>
            <w:tcW w:type="dxa" w:w="3408"/>
          </w:tcPr>
          <w:p>
            <w:r>
              <w:t>Swagbucks</w:t>
              <w:br/>
              <w:t>https://help.swagbucks.com/hc/en-us/articles/205639584-How-do-I-earn-SB</w:t>
            </w:r>
          </w:p>
        </w:tc>
        <w:tc>
          <w:tcPr>
            <w:tcW w:type="dxa" w:w="3408"/>
          </w:tcPr>
          <w:p>
            <w:r>
              <w:t>Diversified earning routes: search, shopping, receipts, games, offers, surveys; activity ledger helps users check tracking/credit.</w:t>
            </w:r>
          </w:p>
        </w:tc>
        <w:tc>
          <w:tcPr>
            <w:tcW w:type="dxa" w:w="3408"/>
          </w:tcPr>
          <w:p>
            <w:r>
              <w:t>Reduce dependence on a single offer type; expose “tracked / pending / credited / missing” states and a transparent activity ledger.</w:t>
            </w:r>
          </w:p>
        </w:tc>
      </w:tr>
      <w:tr>
        <w:tc>
          <w:tcPr>
            <w:tcW w:type="dxa" w:w="3408"/>
          </w:tcPr>
          <w:p>
            <w:r>
              <w:t>Freecash</w:t>
              <w:br/>
              <w:t>https://freecash.com/academy/en/support/offer/miscellaneous/how-to-claim-offer-rewards</w:t>
            </w:r>
          </w:p>
        </w:tc>
        <w:tc>
          <w:tcPr>
            <w:tcW w:type="dxa" w:w="3408"/>
          </w:tcPr>
          <w:p>
            <w:r>
              <w:t>Offer-based earning with explicit claim and pending states; support guidance separates unclaimed rewards from pending verification.</w:t>
            </w:r>
          </w:p>
        </w:tc>
        <w:tc>
          <w:tcPr>
            <w:tcW w:type="dxa" w:w="3408"/>
          </w:tcPr>
          <w:p>
            <w:r>
              <w:t>Show users the next action required and why a reward is pending; instrument claim attempts and delayed credit cases.</w:t>
            </w:r>
          </w:p>
        </w:tc>
      </w:tr>
      <w:tr>
        <w:tc>
          <w:tcPr>
            <w:tcW w:type="dxa" w:w="3408"/>
          </w:tcPr>
          <w:p>
            <w:r>
              <w:t>VELOOP Rewards public help centre</w:t>
              <w:br/>
              <w:t>https://www.velooprewards.in/help-center</w:t>
            </w:r>
          </w:p>
        </w:tc>
        <w:tc>
          <w:tcPr>
            <w:tcW w:type="dxa" w:w="3408"/>
          </w:tcPr>
          <w:p>
            <w:r>
              <w:t>Public help centre describes earning features, wallet/exchange, withdrawals, account safety, and explicitly labels some future features as preview/future.</w:t>
            </w:r>
          </w:p>
        </w:tc>
        <w:tc>
          <w:tcPr>
            <w:tcW w:type="dxa" w:w="3408"/>
          </w:tcPr>
          <w:p>
            <w:r>
              <w:t>Keep “live vs proposed/future” feature flags in analytics metadata; do not report adoption for unavailable features. Clarify currency definitions and withdrawal states.</w:t>
            </w:r>
          </w:p>
        </w:tc>
      </w:tr>
      <w:tr>
        <w:tc>
          <w:tcPr>
            <w:tcW w:type="dxa" w:w="3408"/>
          </w:tcPr>
          <w:p>
            <w:r>
              <w:t>Freecash cashout positioning</w:t>
              <w:br/>
              <w:t>https://freecash.com/en/cashout</w:t>
            </w:r>
          </w:p>
        </w:tc>
        <w:tc>
          <w:tcPr>
            <w:tcW w:type="dxa" w:w="3408"/>
          </w:tcPr>
          <w:p>
            <w:r>
              <w:t>Public cashout page shows a variety of redemption types including gift cards and cash/crypto, with availability depending on region.</w:t>
            </w:r>
          </w:p>
        </w:tc>
        <w:tc>
          <w:tcPr>
            <w:tcW w:type="dxa" w:w="3408"/>
          </w:tcPr>
          <w:p>
            <w:r>
              <w:t>Track payout method eligibility, failure reasons, and region-specific availability instead of treating all methods as universally enabled.</w:t>
            </w:r>
          </w:p>
        </w:tc>
      </w:tr>
    </w:tbl>
    <w:p>
      <w:r>
        <w:t>Target-user hypotheses to test (not established facts): (1) reward-seeking users need clear value-per-task and credit status; (2) users who experience missing credit may churn or contact support; (3) users prefer redemption choices that are available in their region and clearly explain thresholds/timing; (4) referrals are valuable only when referred users activate and retain, not just register. Validate through opt-in interviews, support-ticket coding, event cohorts, and controlled UX tests.</w:t>
      </w:r>
    </w:p>
    <w:p>
      <w:pPr>
        <w:pStyle w:val="Heading1"/>
      </w:pPr>
      <w:r>
        <w:t>3. Analytical findings and business interpretation</w:t>
      </w:r>
    </w:p>
    <w:p>
      <w:pPr>
        <w:pStyle w:val="Heading2"/>
      </w:pPr>
      <w:r>
        <w:t>Task completion and validation</w:t>
      </w:r>
    </w:p>
    <w:p>
      <w:r>
        <w:t>6,000 synthetic task rows: 3,069 completed; 1,058 completed and valid; 2,011 completed but not labelled valid. Among completed rows, 34.5% are labelled valid. This low label share may reflect synthetic data generation and the mixture of valid, failed, pending, and missing validation states; it is not evidence of VELOOP’s actual validation performance. Because there is no confirmed unique task instance/user funnel contract, row shares must not be named conversion rates.</w:t>
      </w:r>
    </w:p>
    <w:p>
      <w:r>
        <w:t>Action: build a row-level lifecycle table keyed by task_activity_id and an explicit reward transaction ID. Separate task completion, partner callback, validation decision, credit posting and reversal. Measure time-to-validation and time-to-credit by source_system and task_type, including P50/P90 and open-age buckets. Use idempotency keys so retries do not create duplicate credits.</w:t>
      </w:r>
    </w:p>
    <w:p>
      <w:pPr>
        <w:pStyle w:val="Heading2"/>
      </w:pPr>
      <w:r>
        <w:t>Reward economy: VE, SVEs, reward credits and redemption</w:t>
      </w:r>
    </w:p>
    <w:p>
      <w:r>
        <w:t>The simulated tables include reward units VE, Gems, Tokens and XP; the assignment/product context also mentions SVEs. The available synthetic transaction rows do not establish an authoritative definition, conversion rate, monetary value, expiry, liability treatment, or whether SVEs are a separate balance or subtype. Do not add quantities across units, infer cash value, or treat a “reward” record as a posted wallet credit.</w:t>
      </w:r>
    </w:p>
    <w:p>
      <w:r>
        <w:t>SIM_Rewards contains 5,000 rows: 3,488 credited, 686 pending, 506 reversed, and 320 corrected. These are row counts; amount totals must be segmented by reward_unit and status. SIM_Wallet contains 893 reward_credit rows, 868 redemption rows, and 839 reversal rows. The reward and wallet tables cannot be assumed one-to-one without a validated reference/transaction relationship.</w:t>
      </w:r>
    </w:p>
    <w:p>
      <w:r>
        <w:t>Required business rules to approve: (a) canonical definition of VE and SVE and whether they are convertible; (b) exchange-rate table with effective dates and rounding rules; (c) status semantics for pending/credited/corrected/reversed; (d) when reward liability is created/released; (e) whether redemption burns, converts, or transfers units; (f) reversal idempotency and mandatory parent transaction; (g) expiry, refund and adjustment policy. Mark each [PROPOSED] until product/finance confirms.</w:t>
      </w:r>
    </w:p>
    <w:p>
      <w:pPr>
        <w:pStyle w:val="Heading2"/>
      </w:pPr>
      <w:r>
        <w:t>Wallet reversals</w:t>
      </w:r>
    </w:p>
    <w:p>
      <w:r>
        <w:t>There are 839 simulated reversal rows: 286 have algorithmic candidate parent links and 553 are unresolved/quarantined. The candidate matching rule used same user and unit and a prior transaction timestamp; this only narrows possible matches and is not authoritative ledger evidence. Keep the 553 unresolved records out of net-credit, redemption, and reversal-cost reporting. Reconcile candidate and unresolved records against source ledger IDs, reversal reason, original transaction amount, unit and posting sequence. A reversal must reference a real prior eligible transaction, not simply the nearest row.</w:t>
      </w:r>
    </w:p>
    <w:p>
      <w:pPr>
        <w:pStyle w:val="Heading2"/>
      </w:pPr>
      <w:r>
        <w:t>Withdrawals and operational reliability</w:t>
      </w:r>
    </w:p>
    <w:p>
      <w:r>
        <w:t>The simulated withdrawal table has 1,200 rows: 738 completed, 151 requested, 125 processing, 121 rejected and 65 reversed. The raw completed share is 61.5% of rows; it is not necessarily a mature-cohort completion rate because requested/processing rows may be right-censored. Do not compare requested_amount across methods until amount units and eligibility are verified. Production dashboard should show open pending age and median/P90 time to final outcome, using only valid timestamp sequences.</w:t>
      </w:r>
    </w:p>
    <w:p>
      <w:pPr>
        <w:pStyle w:val="Heading2"/>
      </w:pPr>
      <w:r>
        <w:t>Referrals and engagement</w:t>
      </w:r>
    </w:p>
    <w:p>
      <w:r>
        <w:t>Referral status rows are 221 created, 226 registered, and 453 converted. Since status values may represent current state rather than event-stage records, do not sum these as a sequential funnel without an explicit state model. Measure unique referral IDs created, referred user registered, activation criteria satisfied, fraud-excluded conversion, and 7/30-day retained activation by referral cohort. For feature events, success/failure status must be interpreted per event; not_applicable is not an error, and raw event failure share needs an eligible-event denominator.</w:t>
      </w:r>
    </w:p>
    <w:p>
      <w:pPr>
        <w:pStyle w:val="Heading1"/>
      </w:pPr>
      <w:r>
        <w:t>4. Dashboard and visualisation</w:t>
      </w:r>
    </w:p>
    <w:p>
      <w:r>
        <w:t>Two working outputs are included: an Excel dashboard with KPI cards, charts, business-insight sheet and executed SQL result tabs; and a standalone HTML dashboard that can be opened locally in a browser and filters synthetic records by dataset and categorical value. The HTML uses embedded data and no external runtime dependency. Dashboard charts are operational diagnostics for the supplied synthetic tables, not production monitoring.</w:t>
      </w:r>
    </w:p>
    <w:p>
      <w:pPr>
        <w:pStyle w:val="Heading1"/>
      </w:pPr>
      <w:r>
        <w:t>5. Executable SQL and verification</w:t>
      </w:r>
    </w:p>
    <w:p>
      <w:r>
        <w:t>The package includes a SQLite database, 11 executable SELECT queries, one CSV result per query, and an Excel workbook with query outputs. Queries cover task states and validation, task-type completion shares, reward states by unit, wallet activity by unit, reversal reconciliation, withdrawal status/duration, referral state and feature failures. Query definitions are in 30_Analytics_Queries.sql; results were generated by executing those queries against VELOOP_Analytics_Simulated.sqlite. See 33_SQL_Execution_Results.xlsx for the complete output tables.</w:t>
      </w:r>
    </w:p>
    <w:p>
      <w:pPr>
        <w:pStyle w:val="Heading1"/>
      </w:pPr>
      <w:r>
        <w:t>6. Specific recommendations tied to findings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Priority</w:t>
            </w:r>
          </w:p>
        </w:tc>
        <w:tc>
          <w:tcPr>
            <w:tcW w:type="dxa" w:w="3408"/>
          </w:tcPr>
          <w:p>
            <w:r>
              <w:t>Evidence / reason</w:t>
            </w:r>
          </w:p>
        </w:tc>
        <w:tc>
          <w:tcPr>
            <w:tcW w:type="dxa" w:w="3408"/>
          </w:tcPr>
          <w:p>
            <w:r>
              <w:t>Recommended action</w:t>
            </w:r>
          </w:p>
        </w:tc>
      </w:tr>
      <w:tr>
        <w:tc>
          <w:tcPr>
            <w:tcW w:type="dxa" w:w="3408"/>
          </w:tcPr>
          <w:p>
            <w:r>
              <w:t>P0 — Financial lineage</w:t>
            </w:r>
          </w:p>
        </w:tc>
        <w:tc>
          <w:tcPr>
            <w:tcW w:type="dxa" w:w="3408"/>
          </w:tcPr>
          <w:p>
            <w:r>
              <w:t>Finding: 553 reversals unresolved; 286 candidate links not verified.</w:t>
            </w:r>
          </w:p>
        </w:tc>
        <w:tc>
          <w:tcPr>
            <w:tcW w:type="dxa" w:w="3408"/>
          </w:tcPr>
          <w:p>
            <w:r>
              <w:t>Keep unresolved reversals quarantined. Require reversal_of_transaction_id, original transaction existence, same user/unit, prior timestamp, amount policy and reason code. Reconcile to authoritative ledger before publishing net reward or redemption totals.</w:t>
            </w:r>
          </w:p>
        </w:tc>
      </w:tr>
      <w:tr>
        <w:tc>
          <w:tcPr>
            <w:tcW w:type="dxa" w:w="3408"/>
          </w:tcPr>
          <w:p>
            <w:r>
              <w:t>P0 — Task validation queue</w:t>
            </w:r>
          </w:p>
        </w:tc>
        <w:tc>
          <w:tcPr>
            <w:tcW w:type="dxa" w:w="3408"/>
          </w:tcPr>
          <w:p>
            <w:r>
              <w:t>Finding: 2,011 completed rows are not labelled valid in synthetic table.</w:t>
            </w:r>
          </w:p>
        </w:tc>
        <w:tc>
          <w:tcPr>
            <w:tcW w:type="dxa" w:w="3408"/>
          </w:tcPr>
          <w:p>
            <w:r>
              <w:t>Create validation states pending/valid/failed with timestamps, reason codes and partner reference; report age by source partner and alert on SLA breach. Do not call all 2,011 invalid.</w:t>
            </w:r>
          </w:p>
        </w:tc>
      </w:tr>
      <w:tr>
        <w:tc>
          <w:tcPr>
            <w:tcW w:type="dxa" w:w="3408"/>
          </w:tcPr>
          <w:p>
            <w:r>
              <w:t>P0 — Reward unit semantics</w:t>
            </w:r>
          </w:p>
        </w:tc>
        <w:tc>
          <w:tcPr>
            <w:tcW w:type="dxa" w:w="3408"/>
          </w:tcPr>
          <w:p>
            <w:r>
              <w:t>Finding: multiple reward units exist and no verified conversion schedule is provided.</w:t>
            </w:r>
          </w:p>
        </w:tc>
        <w:tc>
          <w:tcPr>
            <w:tcW w:type="dxa" w:w="3408"/>
          </w:tcPr>
          <w:p>
            <w:r>
              <w:t>Obtain product/finance sign-off on VE/SVE, Gems, Tokens, XP and credits. Store ledger amount and unit separately; effective-date all conversion rates; never sum unlike units.</w:t>
            </w:r>
          </w:p>
        </w:tc>
      </w:tr>
      <w:tr>
        <w:tc>
          <w:tcPr>
            <w:tcW w:type="dxa" w:w="3408"/>
          </w:tcPr>
          <w:p>
            <w:r>
              <w:t>P1 — Reduce completion friction</w:t>
            </w:r>
          </w:p>
        </w:tc>
        <w:tc>
          <w:tcPr>
            <w:tcW w:type="dxa" w:w="3408"/>
          </w:tcPr>
          <w:p>
            <w:r>
              <w:t>Hypothesis: drop-off varies by task type/source, but current row data is synthetic.</w:t>
            </w:r>
          </w:p>
        </w:tc>
        <w:tc>
          <w:tcPr>
            <w:tcW w:type="dxa" w:w="3408"/>
          </w:tcPr>
          <w:p>
            <w:r>
              <w:t>On production cohorts, instrument viewed→started→completed→validated→credited. Segment by task_type, partner, platform, and user tenure; pilot clearer task instructions or progress feedback only where drop-off is statistically and operationally meaningful.</w:t>
            </w:r>
          </w:p>
        </w:tc>
      </w:tr>
      <w:tr>
        <w:tc>
          <w:tcPr>
            <w:tcW w:type="dxa" w:w="3408"/>
          </w:tcPr>
          <w:p>
            <w:r>
              <w:t>P1 — Referral quality</w:t>
            </w:r>
          </w:p>
        </w:tc>
        <w:tc>
          <w:tcPr>
            <w:tcW w:type="dxa" w:w="3408"/>
          </w:tcPr>
          <w:p>
            <w:r>
              <w:t>Finding: converted-status share is not a valid acquisition-quality metric by itself.</w:t>
            </w:r>
          </w:p>
        </w:tc>
        <w:tc>
          <w:tcPr>
            <w:tcW w:type="dxa" w:w="3408"/>
          </w:tcPr>
          <w:p>
            <w:r>
              <w:t>Define activation (e.g. approved qualifying action) with Product; exclude self-referrals/fraud; compare 7/30-day retained activated users and incentive cost across referral sources.</w:t>
            </w:r>
          </w:p>
        </w:tc>
      </w:tr>
      <w:tr>
        <w:tc>
          <w:tcPr>
            <w:tcW w:type="dxa" w:w="3408"/>
          </w:tcPr>
          <w:p>
            <w:r>
              <w:t>P1 — Payout transparency</w:t>
            </w:r>
          </w:p>
        </w:tc>
        <w:tc>
          <w:tcPr>
            <w:tcW w:type="dxa" w:w="3408"/>
          </w:tcPr>
          <w:p>
            <w:r>
              <w:t>Finding: status counts alone cannot explain delay or user pain.</w:t>
            </w:r>
          </w:p>
        </w:tc>
        <w:tc>
          <w:tcPr>
            <w:tcW w:type="dxa" w:w="3408"/>
          </w:tcPr>
          <w:p>
            <w:r>
              <w:t>Expose pending age, median/P90 processing time, rejection/reversal reason, method and region; show user-facing next step and expected time where operations can support it.</w:t>
            </w:r>
          </w:p>
        </w:tc>
      </w:tr>
      <w:tr>
        <w:tc>
          <w:tcPr>
            <w:tcW w:type="dxa" w:w="3408"/>
          </w:tcPr>
          <w:p>
            <w:r>
              <w:t>P1 — Product reliability</w:t>
            </w:r>
          </w:p>
        </w:tc>
        <w:tc>
          <w:tcPr>
            <w:tcW w:type="dxa" w:w="3408"/>
          </w:tcPr>
          <w:p>
            <w:r>
              <w:t>Finding: feature event rows include success, failure and not_applicable.</w:t>
            </w:r>
          </w:p>
        </w:tc>
        <w:tc>
          <w:tcPr>
            <w:tcW w:type="dxa" w:w="3408"/>
          </w:tcPr>
          <w:p>
            <w:r>
              <w:t>Create per-event eligible denominators, error codes, release and platform dimensions; prioritize failure rate × exposed users × task/reward impact, not raw event counts alone.</w:t>
            </w:r>
          </w:p>
        </w:tc>
      </w:tr>
      <w:tr>
        <w:tc>
          <w:tcPr>
            <w:tcW w:type="dxa" w:w="3408"/>
          </w:tcPr>
          <w:p>
            <w:r>
              <w:t>P2 — Market differentiation</w:t>
            </w:r>
          </w:p>
        </w:tc>
        <w:tc>
          <w:tcPr>
            <w:tcW w:type="dxa" w:w="3408"/>
          </w:tcPr>
          <w:p>
            <w:r>
              <w:t>Competitor help pages emphasize tracking transparency and broad earning/redemption options.</w:t>
            </w:r>
          </w:p>
        </w:tc>
        <w:tc>
          <w:tcPr>
            <w:tcW w:type="dxa" w:w="3408"/>
          </w:tcPr>
          <w:p>
            <w:r>
              <w:t>Prioritize a trustworthy activity ledger and explicit pending/credited/reversed states before expanding gamification or adding more reward features. Validate user needs through interviews and experiments.</w:t>
            </w:r>
          </w:p>
        </w:tc>
      </w:tr>
    </w:tbl>
    <w:p>
      <w:pPr>
        <w:pStyle w:val="Heading1"/>
      </w:pPr>
      <w:r>
        <w:t>7. Limitations and source register</w:t>
      </w:r>
    </w:p>
    <w:p>
      <w:r>
        <w:t>Confirmed by assignment brief: data is fictional/simulated; production implementation of proposed events/fields must be verified; the assignment asks for data coverage, dictionary, ER model, KPIs, profiling, data-quality controls, dashboard blueprint, developer handoff, pipeline and governance. Publicly visible product pages provide product context only and can change. Synthetic data transformations repair test fixtures and are not evidence of production corrections. The 553 unresolved reversal records are intentionally left unresolved.</w:t>
      </w:r>
    </w:p>
    <w:p>
      <w:pPr>
        <w:pStyle w:val="ListBullet"/>
      </w:pPr>
      <w:r>
        <w:t>Assignment brief: Data_Analyst_01.pdf (provided by user; source of work-package requirements and data-authenticity policy).</w:t>
      </w:r>
    </w:p>
    <w:p>
      <w:pPr>
        <w:pStyle w:val="ListBullet"/>
      </w:pPr>
      <w:r>
        <w:t>VELOOP Rewards Help Center: https://www.velooprewards.in/help-center (public product context; current feature availability must still be verified).</w:t>
      </w:r>
    </w:p>
    <w:p>
      <w:pPr>
        <w:pStyle w:val="ListBullet"/>
      </w:pPr>
      <w:r>
        <w:t>VELOOP Rewards public website: https://www.velooprewards.in/ (public positioning; not production data evidence).</w:t>
      </w:r>
    </w:p>
    <w:p>
      <w:pPr>
        <w:pStyle w:val="ListBullet"/>
      </w:pPr>
      <w:r>
        <w:t>Swagbucks Help Center — How do I earn SB?: https://help.swagbucks.com/hc/en-us/articles/205639584-How-do-I-earn-SB (competitor product pattern).</w:t>
      </w:r>
    </w:p>
    <w:p>
      <w:pPr>
        <w:pStyle w:val="ListBullet"/>
      </w:pPr>
      <w:r>
        <w:t>Freecash Help — How to Claim Your Offer Rewards: https://freecash.com/academy/en/support/offer/miscellaneous/how-to-claim-offer-rewards (competitor state-transparency pattern; updated Oct 8, 2026).</w:t>
      </w:r>
    </w:p>
    <w:p>
      <w:pPr>
        <w:pStyle w:val="ListBullet"/>
      </w:pPr>
      <w:r>
        <w:t>Freecash Cashout: https://freecash.com/en/cashout (public redemption options; regional availability varies).</w:t>
      </w:r>
    </w:p>
    <w:p>
      <w:pPr>
        <w:pStyle w:val="ListBullet"/>
      </w:pPr>
      <w:r>
        <w:t>ResearchAndMarkets / PayNXT360 — India Loyalty Market Q2 2026 summary: https://www.researchandmarkets.com/report/india-loyalty-card-market (third-party market estimate; methodology/definition differs from other reports).</w:t>
      </w:r>
    </w:p>
    <w:p>
      <w:pPr>
        <w:pStyle w:val="Heading1"/>
      </w:pPr>
      <w:r>
        <w:t>8. Deliverables included</w:t>
      </w:r>
    </w:p>
    <w:p>
      <w:pPr>
        <w:pStyle w:val="ListBullet"/>
      </w:pPr>
      <w:r>
        <w:t>31_Working_Analytics_Dashboard.xlsx</w:t>
      </w:r>
    </w:p>
    <w:p>
      <w:pPr>
        <w:pStyle w:val="ListBullet"/>
      </w:pPr>
      <w:r>
        <w:t>32_Working_Dashboard.html</w:t>
      </w:r>
    </w:p>
    <w:p>
      <w:pPr>
        <w:pStyle w:val="ListBullet"/>
      </w:pPr>
      <w:r>
        <w:t>30_Analytics_Queries.sql</w:t>
      </w:r>
    </w:p>
    <w:p>
      <w:pPr>
        <w:pStyle w:val="ListBullet"/>
      </w:pPr>
      <w:r>
        <w:t>VELOOP_Analytics_Simulated.sqlite</w:t>
      </w:r>
    </w:p>
    <w:p>
      <w:pPr>
        <w:pStyle w:val="ListBullet"/>
      </w:pPr>
      <w:r>
        <w:t>33_SQL_Execution_Results.xlsx</w:t>
      </w:r>
    </w:p>
    <w:p>
      <w:pPr>
        <w:pStyle w:val="ListBullet"/>
      </w:pPr>
      <w:r>
        <w:t>34_Research_Insights_Action_Plan.docx</w:t>
      </w:r>
    </w:p>
    <w:p>
      <w:pPr>
        <w:pStyle w:val="ListBullet"/>
      </w:pPr>
      <w:r>
        <w:t>VELOOP_Rewards_Corrected_Simulated_Workbook.xlsx</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