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exact"/>
      </w:pPr>
      <w:r>
        <w:rPr/>
        <w:t xml:space="preserve">where:</w:t>
      </w:r>
    </w:p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f</m:t>
              </m:r>
            </m:e>
            <m:sub>
              <m:r>
                <m:rPr>
                  <m:sty m:val="i"/>
                </m:rPr>
                <m:t>t</m:t>
              </m:r>
            </m:sub>
          </m:sSub>
        </m:oMath>
      </m:oMathPara>
      <w:r>
        <w:rPr/>
        <w:t xml:space="preserve"> is the forget gate</w:t>
      </w:r>
    </w:p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i</m:t>
              </m:r>
            </m:e>
            <m:sub>
              <m:r>
                <m:rPr>
                  <m:sty m:val="i"/>
                </m:rPr>
                <m:t>t</m:t>
              </m:r>
            </m:sub>
          </m:sSub>
        </m:oMath>
      </m:oMathPara>
      <w:r>
        <w:rPr/>
        <w:t xml:space="preserve"> is the input gate</w:t>
      </w:r>
    </w:p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sSub>
            <m:sSubPr/>
            <m:e>
              <m:acc>
                <m:accPr>
                  <m:chr m:val="˜"/>
                </m:accPr>
                <m:e>
                  <m:r>
                    <m:rPr>
                      <m:sty m:val="i"/>
                    </m:rPr>
                    <m:t>C</m:t>
                  </m:r>
                </m:e>
              </m:acc>
            </m:e>
            <m:sub>
              <m:r>
                <m:rPr>
                  <m:sty m:val="i"/>
                </m:rPr>
                <m:t>t</m:t>
              </m:r>
            </m:sub>
          </m:sSub>
        </m:oMath>
      </m:oMathPara>
      <w:r>
        <w:rPr/>
        <w:t xml:space="preserve"> is the candidate cell state</w:t>
      </w:r>
    </w:p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C</m:t>
              </m:r>
            </m:e>
            <m:sub>
              <m:r>
                <m:rPr>
                  <m:sty m:val="i"/>
                </m:rPr>
                <m:t>t</m:t>
              </m:r>
            </m:sub>
          </m:sSub>
        </m:oMath>
      </m:oMathPara>
      <w:r>
        <w:rPr/>
        <w:t xml:space="preserve"> is the cell state</w:t>
      </w:r>
    </w:p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o</m:t>
              </m:r>
            </m:e>
            <m:sub>
              <m:r>
                <m:rPr>
                  <m:sty m:val="i"/>
                </m:rPr>
                <m:t>t</m:t>
              </m:r>
            </m:sub>
          </m:sSub>
        </m:oMath>
      </m:oMathPara>
      <w:r>
        <w:rPr/>
        <w:t xml:space="preserve"> is the output gate</w:t>
      </w:r>
    </w:p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h</m:t>
              </m:r>
            </m:e>
            <m:sub>
              <m:r>
                <m:rPr>
                  <m:sty m:val="i"/>
                </m:rPr>
                <m:t>t</m:t>
              </m:r>
            </m:sub>
          </m:sSub>
        </m:oMath>
      </m:oMathPara>
      <w:r>
        <w:rPr/>
        <w:t xml:space="preserve"> is the hidden state</w:t>
      </w:r>
    </w:p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r>
            <m:rPr>
              <m:sty m:val="i"/>
            </m:rPr>
            <m:t>σ</m:t>
          </m:r>
        </m:oMath>
      </m:oMathPara>
      <w:r>
        <w:rPr/>
        <w:t xml:space="preserve"> is the sigmoid activation function</w:t>
      </w:r>
    </w:p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r>
            <m:rPr>
              <m:sty m:val="p"/>
            </m:rPr>
            <m:t>⊙</m:t>
          </m:r>
        </m:oMath>
      </m:oMathPara>
      <w:r>
        <w:rPr/>
        <w:t xml:space="preserve"> denotes element-wise multiplication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2024-07-22T10:11:31.848Z</dcterms:created>
  <dcterms:modified xsi:type="dcterms:W3CDTF">2024-07-22T10:11:31.848Z</dcterms:modified>
</cp:coreProperties>
</file>