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baking1;Ghiradelli Brownie Mix;1.98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baking2;Betty Crocker Chocolate Chip Cookie Mix;1.98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baking3;Betty Crocker Oatmeal Cookie Mix;1.98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baking4;Betty Crocker Red Velvet Cake Mix;1.28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baking5;Crisco Vegetable Oil, 48 oz;2.78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baking6;Pam Olive Oil Cooking Spray;2.78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baking7;Bertolli Extra Virgin Olive Oil;7.90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baking8;Great Value Cane Sugar, 10lb;5.48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baking9;Hershey’s Chocolate Syrup;2.28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baking10;Pillsbury Chocolate Fudge Frosting;1.56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baking11;Pillsbury Milk Chocolate Frosting;1.56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baking12;Pillsbury Vanilla Frosting;1.56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baking13;McCormick Vanilla Extract, 16 fl oz;7.98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baking14;McCormick Vanilla Extract, 2 fl oz;4.12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baking15;Nestle Toll House Real Semi-Sweet Chocolate Chips, 12oz;2.64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baking16;Nestle Toll House Real Milk Chocolate Chips, 11.5oz;2.50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baking17;McCormick Black Pepper;3.25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baking18;Morton Iodized Salt;0.86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baking19;Great Value Graham 9” Pie Crust;1.50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baking20;Jell-O Instant Chocolate Pudding;1.32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baking21;Jell-O Strawberry Gelatin Dessert;1.32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