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beverages1;Ocean Spray Cranberry Juice;4.98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beverages2;Hawaiian Punch, 1 Gal;1.98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beverages3;Welch’s Bottled Grape Juice;4.98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beverages4;V8 Vegetable Juice;3.98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beverages5;Mott’s Original Apple Juice;2.48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beverages6;Capri Sun Pacific Cooler Mixed Fruit Juice Drink Pouches, 10ct;1.98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beverages7;Sprite 2 L;1.48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beverages8;Coca-Cola 2L;1.48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beverages9;Diet Coke 2L;1.48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beverages10;Coca-Cola Zero 2L;1.48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beverages11;Lipton Tea Bags, 100ct;4.13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beverages12;Arnold Palmer Half and Half Lite Iced Tea/Lemonade;2.78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beverages13;Celestial Seasonings Sleepytime Herbal Tea, 20ct;2.48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beverages14;Folgers Medium Classic Roast Ground Coffee;9.68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beverages15;Starbucks Frappuccino Mocha Coffe Drink, 4pk;10.42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beverages16;Nestle Pure Life Purified Water, 12pk;2.48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beverages17;Gatorade G Frost Glacier Freeze, 12pk;5.98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beverages18;Gatorade G Orange, 12pk;5.98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beverages19;Gatorade G Lemon-Lime, 12pk;5.98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beverages20;5-Hour Energy Berry, 10pk;17.98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beverages21;Red Bull Energy Drink, 4ct;5.98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