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4" w:space="6"/>
        </w:pBdr>
        <w:spacing w:after="200" w:before="0"/>
        <w:jc w:val="center"/>
      </w:pPr>
      <w:r>
        <w:rPr>
          <w:rFonts w:ascii="Arial" w:cs="Arial" w:eastAsia="Arial" w:hAnsi="Arial"/>
          <w:b/>
          <w:bCs/>
          <w:color w:val="1F3864"/>
          <w:sz w:val="52"/>
          <w:szCs w:val="52"/>
        </w:rPr>
        <w:t xml:space="preserve">Literature Survey</w:t>
      </w:r>
    </w:p>
    <w:p>
      <w:pPr>
        <w:spacing w:after="80" w:before="140"/>
        <w:jc w:val="center"/>
      </w:pPr>
      <w:r>
        <w:rPr>
          <w:rFonts w:ascii="Arial" w:cs="Arial" w:eastAsia="Arial" w:hAnsi="Arial"/>
          <w:b/>
          <w:bCs/>
          <w:color w:val="2E75B6"/>
          <w:sz w:val="28"/>
          <w:szCs w:val="28"/>
        </w:rPr>
        <w:t xml:space="preserve">Hybrid Quantum-Classical Optimization for HPC Scheduling &amp; Resource Allocation</w:t>
      </w:r>
    </w:p>
    <w:p>
      <w:pPr>
        <w:spacing w:after="60" w:before="40"/>
        <w:jc w:val="center"/>
      </w:pPr>
      <w:r>
        <w:rPr>
          <w:rFonts w:ascii="Arial" w:cs="Arial" w:eastAsia="Arial" w:hAnsi="Arial"/>
          <w:i/>
          <w:iCs/>
          <w:color w:val="595959"/>
          <w:sz w:val="20"/>
          <w:szCs w:val="20"/>
        </w:rPr>
        <w:t xml:space="preserve">QAOA  ·  QUBO Formulations  ·  GPU-Accelerated Quantum Simulation  ·  CUDA-Q / cuQuantum  ·  NVIDIA A100</w:t>
      </w:r>
    </w:p>
    <w:p>
      <w:pPr>
        <w:spacing w:after="360" w:before="20"/>
        <w:jc w:val="center"/>
      </w:pPr>
      <w:r>
        <w:rPr>
          <w:rFonts w:ascii="Arial" w:cs="Arial" w:eastAsia="Arial" w:hAnsi="Arial"/>
          <w:color w:val="595959"/>
          <w:sz w:val="18"/>
          <w:szCs w:val="18"/>
        </w:rPr>
        <w:t xml:space="preserve">20 curated papers  ·  Source of Truth reference document</w:t>
      </w:r>
    </w:p>
    <w:p>
      <w:pPr>
        <w:pStyle w:val="Heading1"/>
        <w:pBdr>
          <w:bottom w:val="single" w:color="2E75B6" w:sz="10" w:space="4"/>
        </w:pBdr>
        <w:spacing w:after="140" w:before="320"/>
      </w:pPr>
      <w:r>
        <w:rPr>
          <w:rFonts w:ascii="Arial" w:cs="Arial" w:eastAsia="Arial" w:hAnsi="Arial"/>
          <w:b/>
          <w:bCs/>
          <w:color w:val="1F3864"/>
          <w:sz w:val="32"/>
          <w:szCs w:val="32"/>
        </w:rPr>
        <w:t xml:space="preserve">1. Survey Scope &amp; Reading Guide</w:t>
      </w:r>
    </w:p>
    <w:p>
      <w:pPr>
        <w:spacing w:after="100" w:before="60"/>
      </w:pPr>
      <w:r>
        <w:rPr>
          <w:rFonts w:ascii="Arial" w:cs="Arial" w:eastAsia="Arial" w:hAnsi="Arial"/>
          <w:sz w:val="20"/>
          <w:szCs w:val="20"/>
        </w:rPr>
        <w:t xml:space="preserve">This document is the definitive source of truth for the literature review component of the project. It contains 20 curated papers spanning four research pillars, each presented in a compact card format showing: full metadata, a concise summary of what the paper does and proves, and a direct explanation of its relevance to this specific project.</w:t>
      </w:r>
    </w:p>
    <w:p>
      <w:pPr>
        <w:spacing w:after="100" w:before="60"/>
      </w:pPr>
      <w:r>
        <w:rPr>
          <w:rFonts w:ascii="Arial" w:cs="Arial" w:eastAsia="Arial" w:hAnsi="Arial"/>
          <w:sz w:val="20"/>
          <w:szCs w:val="20"/>
        </w:rPr>
        <w:t xml:space="preserve">Each card is colour-coded: the relevance row (green) records exactly why the paper matters for this work. Papers are grouped thematically. The Top 10 table at the end gives a prioritised reading order for onboarding new contributors.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000"/>
        <w:gridCol w:w="1300"/>
      </w:tblGrid>
      <w:tr>
        <w:tc>
          <w:tcPr>
            <w:tcW w:type="dxa" w:w="300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Metric</w:t>
            </w:r>
          </w:p>
        </w:tc>
        <w:tc>
          <w:tcPr>
            <w:tcW w:type="dxa" w:w="130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Count</w:t>
            </w:r>
          </w:p>
        </w:tc>
        <w:tc>
          <w:tcPr>
            <w:tcW w:type="dxa" w:w="300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Metric</w:t>
            </w:r>
          </w:p>
        </w:tc>
        <w:tc>
          <w:tcPr>
            <w:tcW w:type="dxa" w:w="130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Count</w:t>
            </w:r>
          </w:p>
        </w:tc>
      </w:tr>
      <w:tr>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Total papers</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20</w:t>
            </w:r>
          </w:p>
        </w:tc>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Score 10/10</w:t>
            </w:r>
          </w:p>
        </w:tc>
        <w:tc>
          <w:tcPr>
            <w:tcW w:type="dxa" w:w="13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000000"/>
                <w:sz w:val="17"/>
                <w:szCs w:val="17"/>
              </w:rPr>
              <w:t xml:space="preserve">4</w:t>
            </w:r>
          </w:p>
        </w:tc>
      </w:tr>
      <w:tr>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GPU / HPC simulation papers</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4</w:t>
            </w:r>
          </w:p>
        </w:tc>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Score 9/10</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6</w:t>
            </w:r>
          </w:p>
        </w:tc>
      </w:tr>
      <w:tr>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Scheduling QUBO / QAOA papers</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8</w:t>
            </w:r>
          </w:p>
        </w:tc>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Score 8/10</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8</w:t>
            </w:r>
          </w:p>
        </w:tc>
      </w:tr>
      <w:tr>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Hybrid decomposition / HPC papers</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3</w:t>
            </w:r>
          </w:p>
        </w:tc>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Score 7/10</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2</w:t>
            </w:r>
          </w:p>
        </w:tc>
      </w:tr>
      <w:tr>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Year range (primary)</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7375E"/>
                <w:sz w:val="17"/>
                <w:szCs w:val="17"/>
              </w:rPr>
              <w:t xml:space="preserve">2021–2025</w:t>
            </w:r>
          </w:p>
        </w:tc>
        <w:tc>
          <w:tcPr>
            <w:tcW w:type="dxa" w:w="30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Foundational (&lt;2021 retained)</w:t>
            </w:r>
          </w:p>
        </w:tc>
        <w:tc>
          <w:tcPr>
            <w:tcW w:type="dxa" w:w="13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000000"/>
                <w:sz w:val="17"/>
                <w:szCs w:val="17"/>
              </w:rPr>
              <w:t xml:space="preserve">2</w:t>
            </w:r>
          </w:p>
        </w:tc>
      </w:tr>
    </w:tbl>
    <w:p>
      <w:pPr>
        <w:spacing w:after="0" w:before="360"/>
      </w:pPr>
      <w:r>
        <w:br w:type="page"/>
      </w:r>
    </w:p>
    <w:p>
      <w:pPr>
        <w:pStyle w:val="Heading1"/>
        <w:pBdr>
          <w:bottom w:val="single" w:color="2E75B6" w:sz="10" w:space="4"/>
        </w:pBdr>
        <w:spacing w:after="140" w:before="320"/>
      </w:pPr>
      <w:r>
        <w:rPr>
          <w:rFonts w:ascii="Arial" w:cs="Arial" w:eastAsia="Arial" w:hAnsi="Arial"/>
          <w:b/>
          <w:bCs/>
          <w:color w:val="1F3864"/>
          <w:sz w:val="32"/>
          <w:szCs w:val="32"/>
        </w:rPr>
        <w:t xml:space="preserve">2. Paper Cards by Research Group</w:t>
      </w:r>
    </w:p>
    <w:p>
      <w:pPr>
        <w:pStyle w:val="Heading2"/>
        <w:spacing w:after="100" w:before="260"/>
      </w:pPr>
      <w:r>
        <w:rPr>
          <w:rFonts w:ascii="Arial" w:cs="Arial" w:eastAsia="Arial" w:hAnsi="Arial"/>
          <w:b/>
          <w:bCs/>
          <w:color w:val="2E75B6"/>
          <w:sz w:val="26"/>
          <w:szCs w:val="26"/>
        </w:rPr>
        <w:t xml:space="preserve">Group A — Foundational Theory: QAOA &amp; QUBO</w:t>
      </w:r>
    </w:p>
    <w:p>
      <w:pPr>
        <w:spacing w:after="100" w:before="60"/>
      </w:pPr>
      <w:r>
        <w:rPr>
          <w:rFonts w:ascii="Arial" w:cs="Arial" w:eastAsia="Arial" w:hAnsi="Arial"/>
          <w:sz w:val="20"/>
          <w:szCs w:val="20"/>
        </w:rPr>
        <w:t xml:space="preserve">Papers that define the core algorithmic and mathematical foundations: the original QAOA formulation, QUBO modeling methodology, and comparative theoretical analysis that justifies the gate-model QAOA approach.</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[P2]  </w:t>
            </w:r>
            <w:r>
              <w:rPr>
                <w:rFonts w:ascii="Arial" w:cs="Arial" w:eastAsia="Arial" w:hAnsi="Arial"/>
                <w:b/>
                <w:bCs/>
                <w:color w:val="FFFFFF"/>
                <w:sz w:val="20"/>
                <w:szCs w:val="20"/>
              </w:rPr>
              <w:t xml:space="preserve">A Quantum Approximate Optimization Algorithm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Edward Farhi, Jeffrey Goldstone, Sam Gutmann</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2014</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arXiv:1411.4028 (MIT preprint — foundational, ~10,000 citations)</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QAOA – Foundational</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10/10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https://arxiv.org/abs/1411.4028</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The paper that introduced QAOA as a hybrid quantum-classical heuristic for combinatorial optimization. Defines the alternating cost Hamiltonian (Hp) and mixing Hamiltonian (Hm) circuit structure driven by parameters β and γ, and proves a 0.6924 approximation ratio on MaxCut for 3-regular graphs at depth p=1. Establishes the circuit depth–quality tradeoff and the connection to adiabatic evolution.</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Mandatory foundational citation for the entire project. Every QAOA circuit, QUBO encoding, and approximation bound discussed builds directly on the formalism defined here. Without citing this paper, no QAOA claim can stand in any submitted work.</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[P14]  </w:t>
            </w:r>
            <w:r>
              <w:rPr>
                <w:rFonts w:ascii="Arial" w:cs="Arial" w:eastAsia="Arial" w:hAnsi="Arial"/>
                <w:b/>
                <w:bCs/>
                <w:color w:val="FFFFFF"/>
                <w:sz w:val="20"/>
                <w:szCs w:val="20"/>
              </w:rPr>
              <w:t xml:space="preserve">Quantum Bridge Analytics I: A Tutorial on Formulating and Using QUBO Models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Fred Glover, Gary Kochenberger, Rick Hennig, Yu Du</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2022</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Annals of Operations Research, Vol. 314, pp. 141–183</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QUBO Formulation – Foundational Tutorial</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https://doi.org/10.1007/s10479-022-04634-2</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Comprehensive reference tutorial on translating combinatorial optimization problems into QUBO format. Details exact algebraic transformations for inequality constraints, continuous variable binarization, and penalty scaling factors (P) ensuring the ground state matches the optimal classical solution without distorting the energy landscape. Covers 20+ problem classes including scheduling, assignment, and resource allocation.</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The canonical methodology guide for constructing the HPC scheduling QUBO matrix. Every penalty term encoding capacity, precedence, and uniqueness constraints in the project traces back to the transformation rules described here. Essential citation whenever QUBO formulation choices are justified.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[P7]  </w:t>
            </w:r>
            <w:r>
              <w:rPr>
                <w:rFonts w:ascii="Arial" w:cs="Arial" w:eastAsia="Arial" w:hAnsi="Arial"/>
                <w:b/>
                <w:bCs/>
                <w:color w:val="FFFFFF"/>
                <w:sz w:val="20"/>
                <w:szCs w:val="20"/>
              </w:rPr>
              <w:t xml:space="preserve">Comparison of QAOA with Quantum and Simulated Annealing</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Michael Streif, Martin Leib</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2019</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arXiv:1901.01903 (Volkswagen Group / Uni Freiburg; widely cited)</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QAOA vs Annealing – Theoretical Demarcation</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https://arxiv.org/abs/1901.01903</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Draws a rigorous spectral demarcation line between QAOA (interference-based) and QA/SA (fluctuation-based) algorithms. Identifies specific optimization problem instances solvable exactly by p=1 QAOA where both Quantum Annealing and Simulated Annealing have exponentially small success probability. The separation stems from destructive interference of non-target states — a mechanism unavailable to thermal or tunneling heuristics.</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Provides theoretical justification for building a gate-based QAOA framework rather than using D-Wave quantum annealing. This demarcation argument is a critical citation for explaining why the project targets gate-model QAOA instead of annealing approaches.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[P5]  </w:t>
            </w:r>
            <w:r>
              <w:rPr>
                <w:rFonts w:ascii="Arial" w:cs="Arial" w:eastAsia="Arial" w:hAnsi="Arial"/>
                <w:b/>
                <w:bCs/>
                <w:color w:val="FFFFFF"/>
                <w:sz w:val="20"/>
                <w:szCs w:val="20"/>
              </w:rPr>
              <w:t xml:space="preserve">An Introduction to Variational Quantum Algorithms for Combinatorial Optimization Problems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Camille Grange, Michael Poss, Eric Bourreau</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2022</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4OR / Annals of Operations Research, 2022/2024  |  arXiv:2212.11734</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VQA / QAOA – Tutorial &amp; Survey</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https://arxiv.org/abs/2212.11734</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Comprehensive mathematical tutorial on VQAs and QAOA for operations research audiences. Covers parameterized quantum circuits, guiding functions (CVaR, Gibbs objective), classical optimizer choices, circuit depth limitations, locality constraints, and parameter concentration effects. Reviews empirical and theoretical trends as of 2024.</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Vital bridging text for the literature review section. Explains why advanced parameter-setting strategies (like transfer and warm-starting) are necessary to scale QAOA. Provides broad literary support for the hybrid optimization loop architecture used throughout the project.</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[P19]  </w:t>
            </w:r>
            <w:r>
              <w:rPr>
                <w:rFonts w:ascii="Arial" w:cs="Arial" w:eastAsia="Arial" w:hAnsi="Arial"/>
                <w:b/>
                <w:bCs/>
                <w:color w:val="FFFFFF"/>
                <w:sz w:val="20"/>
                <w:szCs w:val="20"/>
              </w:rPr>
              <w:t xml:space="preserve">Variational Quantum Algorithms for Combinatorial Optimization</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R. Garcia-Ripoll, J.M. Bermejo-Vega, et al.</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2024</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arXiv:2407.06421</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VQA / QAOA – Survey &amp; Benchmarking</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7/10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https://arxiv.org/abs/2407.06421</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Surveys the landscape of VQAs for NP-hard combinatorial optimization in the NISQ era, identifying QAOA as the leading candidate. Benchmarks QAOA circuits of varying depths on MaxCut (10–20 nodes). Shows that shallow circuits (p=1 or 2) often find near-optimal solutions before simulation overhead offsets gains, and discusses barren plateaus and noise sensitivity as the main practical challenges.</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Contextual benchmarking reference confirming that massive circuit depth is not necessary for POC success. Justifies focusing on shallow, highly optimized QAOA circuits for the initial HPC scheduling implementation and sets realistic expectations for approximation quality.</w:t>
            </w:r>
          </w:p>
        </w:tc>
      </w:tr>
    </w:tbl>
    <w:p>
      <w:pPr>
        <w:spacing w:after="40" w:before="80"/>
      </w:pPr>
    </w:p>
    <w:p>
      <w:pPr>
        <w:spacing w:after="0" w:before="200"/>
      </w:pPr>
      <w:r>
        <w:br w:type="page"/>
      </w:r>
    </w:p>
    <w:p>
      <w:pPr>
        <w:pStyle w:val="Heading2"/>
        <w:spacing w:after="100" w:before="260"/>
      </w:pPr>
      <w:r>
        <w:rPr>
          <w:rFonts w:ascii="Arial" w:cs="Arial" w:eastAsia="Arial" w:hAnsi="Arial"/>
          <w:b/>
          <w:bCs/>
          <w:color w:val="2E75B6"/>
          <w:sz w:val="26"/>
          <w:szCs w:val="26"/>
        </w:rPr>
        <w:t xml:space="preserve">Group B — Quantum Scheduling: Job Shop &amp; Workflow</w:t>
      </w:r>
    </w:p>
    <w:p>
      <w:pPr>
        <w:spacing w:after="100" w:before="60"/>
      </w:pPr>
      <w:r>
        <w:rPr>
          <w:rFonts w:ascii="Arial" w:cs="Arial" w:eastAsia="Arial" w:hAnsi="Arial"/>
          <w:sz w:val="20"/>
          <w:szCs w:val="20"/>
        </w:rPr>
        <w:t xml:space="preserve">Papers applying QAOA, VQAs, and QUBO formulations directly to scheduling problems — the primary problem class for this project.</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[P3]  </w:t>
            </w:r>
            <w:r>
              <w:rPr>
                <w:rFonts w:ascii="Arial" w:cs="Arial" w:eastAsia="Arial" w:hAnsi="Arial"/>
                <w:b/>
                <w:bCs/>
                <w:color w:val="FFFFFF"/>
                <w:sz w:val="20"/>
                <w:szCs w:val="20"/>
              </w:rPr>
              <w:t xml:space="preserve">A Case Study of Variational Quantum Algorithms for a Job Shop Scheduling Problem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David Amaro, Matthias Rosenkranz, Nathan Fitzpatrick, Koji Hirano, Mattia Fiorentini</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2022</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EPJ Quantum Technology, Vol. 9, pp. 100–114  |  arXiv:2109.03745</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QUBO / QAOA vs VQA</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https://doi.org/10.1140/epjqt/s40507-022-00123-4</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Applies and compares four VQAs (QAOA, VQE, VarQITE, F-VQE) to a steel manufacturing JSSP formulated as QUBO. Tests on IBM superconducting QPUs up to 23 qubits without error mitigation. F-VQE converges faster and samples the global optimum more frequently than QAOA due to filtering operators that reshape the energy landscape.</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Canonical comparative benchmark showing that standard QAOA struggles with JSSP execution on physical hardware — directly justifying the use of advanced interventions (spatial/temporal decomposition, parameter transfer). The QUBO encoding methodology is directly transferable to HPC batch scheduling.</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[P6]  </w:t>
            </w:r>
            <w:r>
              <w:rPr>
                <w:rFonts w:ascii="Arial" w:cs="Arial" w:eastAsia="Arial" w:hAnsi="Arial"/>
                <w:b/>
                <w:bCs/>
                <w:color w:val="FFFFFF"/>
                <w:sz w:val="20"/>
                <w:szCs w:val="20"/>
              </w:rPr>
              <w:t xml:space="preserve">Application of Quantum Approximate Optimization Algorithm to Job Shop Scheduling Problem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Krzysztof Kurowski, Tomasz Pecyna, Mateusz Slysz, Rafał Różycki, Grzegorz Waligóra, Jan Weglarz</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2023</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European Journal of Operational Research, Vol. 310(2), pp. 518–528</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QAOA on JSSP</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https://doi.org/10.1016/j.ejor.2023.03.013</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Applies QAOA directly to JSSP using time-indexed QUBO variables and studies the structural behavior of optimal variational parameters (β, γ) across increasing circuit depths. Discovers that optimal parameters form smooth, monotonic patterns, enabling an 'educated guess' interpolation strategy: parameters optimized for shallow circuits are interpolated to initialize deeper ones, dramatically reducing classical optimization cost.</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Directly validates the parameter transfer strategy central to this project. Proves QAOA parameters for scheduling problems exhibit structural regularity rather than randomness — the exact foundation needed to justify pre-training parameters on small instances and transferring them to large-scale HPC scheduling QUBO circuits.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[P8]  </w:t>
            </w:r>
            <w:r>
              <w:rPr>
                <w:rFonts w:ascii="Arial" w:cs="Arial" w:eastAsia="Arial" w:hAnsi="Arial"/>
                <w:b/>
                <w:bCs/>
                <w:color w:val="FFFFFF"/>
                <w:sz w:val="20"/>
                <w:szCs w:val="20"/>
              </w:rPr>
              <w:t xml:space="preserve">Evaluating the Job Shop Scheduling Problem on a D-Wave Quantum Annealer</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Costantino Carugno, Maurizio Ferrari Dacrema, Paolo Cremonesi</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2022</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Scientific Reports, Vol. 12, Article 6539</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QUBO / D-Wave Hardware</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https://doi.org/10.1038/s41598-022-10169-0</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Tests JSSP on D-Wave quantum annealing hardware: transforms scheduling constraints into a QUBO, embeds on the physical qubit topology, and evaluates against SA, tabu search, and exact solvers. Reveals severe hardware limitations: auxiliary variable explosion, massive embedding overhead, and destructive chain breaks when penalty correlations fail during annealing execution.</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Serves as a hardware execution reality benchmark. Justifies why noise-free or error-mitigated GPU simulation is necessary before relying on physical quantum chips. The QUBO encoding and solver comparison methodology also provide a direct baseline for benchmarking QAOA on A100 simulations.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  </w:t>
            </w:r>
            <w:r>
              <w:rPr>
                <w:rFonts w:ascii="Arial" w:cs="Arial" w:eastAsia="Arial" w:hAnsi="Arial"/>
                <w:b/>
                <w:bCs/>
                <w:color w:val="FFFFFF"/>
                <w:sz w:val="20"/>
                <w:szCs w:val="20"/>
              </w:rPr>
              <w:t xml:space="preserve">A Non-Variational Quantum Approach to the Job Shop Scheduling Problem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M.A. Lopez-Ruiz, E.L. Tucker, E.M. Arnold, E. Epifanovsky, A. Kaushik, M. Roetteler</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2025</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arXiv:2510.26859 (Quantum journal, accepted)</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QAOA Variant</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https://arxiv.org/abs/2510.26859</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Introduces Iterative-QAOA for the Just-in-Time JSSP: a non-variational approach using fixed-parameter Linear Ramp QAOA schedules combined with iterative warm-starting from measurement outcomes. Benchmarked on IonQ Forte QPUs (largest JSSP instances on quantum hardware) and tensor-network simulations up to 97 qubits. Avoids the classical optimization loop entirely, eliminating barren-plateau risk.</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Provides a validated fallback strategy when standard QAOA training fails during GPU simulations. The fixed-parameter schedule and warm-start mechanism can be directly adopted for HPC scheduling QUBO instances where variational optimization is computationally prohibitive.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[P11]  </w:t>
            </w:r>
            <w:r>
              <w:rPr>
                <w:rFonts w:ascii="Arial" w:cs="Arial" w:eastAsia="Arial" w:hAnsi="Arial"/>
                <w:b/>
                <w:bCs/>
                <w:color w:val="FFFFFF"/>
                <w:sz w:val="20"/>
                <w:szCs w:val="20"/>
              </w:rPr>
              <w:t xml:space="preserve">Graph-Controlled Permutation Mixers in QAOA for the Flexible Job-Shop Problem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Tobias Rohe, Jonas Stein, et al.</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2023</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arXiv:2311.04100</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Constrained QAOA / CM-QAOA</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https://arxiv.org/abs/2311.04100</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Introduces Constraint-Mixer QAOA (CM-QAOA) for the Flexible Job-Shop Problem. Instead of penalizing infeasible states via objective-function penalties, feasibility constraints are baked directly into the mixing operator via graph-controlled permutation unitaries. The circuit transitions only between feasible states, proven mathematically to preserve and cover the entire valid subspace. Eliminates the need for scalar penalty weight tuning.</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Vital alternative to standard penalty-based QUBO when penalty fragility is an issue. If HPC scheduling QUBO suffers from the penalty collapse identified in Paper 4, this technique provides a robust constraint-enforcement mechanism by modifying the QAOA mixer itself rather than tweaking fragile penalty multipliers.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[P13]  </w:t>
            </w:r>
            <w:r>
              <w:rPr>
                <w:rFonts w:ascii="Arial" w:cs="Arial" w:eastAsia="Arial" w:hAnsi="Arial"/>
                <w:b/>
                <w:bCs/>
                <w:color w:val="FFFFFF"/>
                <w:sz w:val="20"/>
                <w:szCs w:val="20"/>
              </w:rPr>
              <w:t xml:space="preserve">QTIS: A QAOA-Based Quantum Time Interval Scheduler</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José A. Tirado-Domínguez, Eladio Gutiérrez, Oscar Plata</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2025</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arXiv:2511.15590 (Universidad de Málaga)</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QAOA with Ancilla Constraints</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https://arxiv.org/abs/2511.15590</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Proposes QTIS: a modified QAOA for task scheduling with strict start times, durations, and resource constraints. Decomposes the Hamiltonian into objective (Hp) and overlap-penalty (Hc) components, each with distinct variational angles. An ancilla-assisted subcircuit dynamically detects time collisions via RY rotations and CCNOT gates and applies phase penalties only when overlap is detected. Three strategies compared: standard QAOA, T-QAOA, and HT-QAOA.</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Directly addresses the penalty-tuning problem for time-interval scheduling. The ancilla-based dynamic constraint enforcement — applying penalties only when a violation occurs — is an advanced alternative to static scalar penalties, highly relevant when scheduling QUBO constraints involve temporal overlaps across HPC job queues.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[P17]  </w:t>
            </w:r>
            <w:r>
              <w:rPr>
                <w:rFonts w:ascii="Arial" w:cs="Arial" w:eastAsia="Arial" w:hAnsi="Arial"/>
                <w:b/>
                <w:bCs/>
                <w:color w:val="FFFFFF"/>
                <w:sz w:val="20"/>
                <w:szCs w:val="20"/>
              </w:rPr>
              <w:t xml:space="preserve">Solving Workflow Scheduling Problems with QUBO Modeling</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A.I. Pakhomchik, S. Yudin, M.R. Perelshtein, A. Alekseyenko, S. Yarkoni</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2022</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arXiv:2205.04844 (Terra Quantum / Volkswagen)</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Workflow Scheduling – QUBO + DAG Decomposition</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https://arxiv.org/abs/2205.04844</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Investigates NP-hard automotive manufacturing workflow scheduling via QUBO formulations. Shows QUBO complexity scales as O(N^1.8) in jobs, rapidly becoming intractable. Derives a DAG-dependency-based decomposition: workflow is split along parent-child edges into sequential smaller sub-QUBOs optimized iteratively. The Hybrid QuEnc approach (greedy decomposition + quantum engine) is the only method achieving optimal scheduling at 15+ jobs.</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Highly relevant for scaling the project POC: provides the DAG-directed QUBO decomposition strategy needed when spatial mapping QUBO exceeds simulator capacity. The N^1.8 QUBO growth analysis also provides quantitative guidance on problem size boundaries relevant for HPC job graph scheduling.</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[P18]  </w:t>
            </w:r>
            <w:r>
              <w:rPr>
                <w:rFonts w:ascii="Arial" w:cs="Arial" w:eastAsia="Arial" w:hAnsi="Arial"/>
                <w:b/>
                <w:bCs/>
                <w:color w:val="FFFFFF"/>
                <w:sz w:val="20"/>
                <w:szCs w:val="20"/>
              </w:rPr>
              <w:t xml:space="preserve">Variational Algorithms for Workflow Scheduling Problem in Gate-Based Quantum Devices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J. Plewa, J. Sieńko, K. Rycerz</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2021</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Computing and Informatics, Vol. 40(4), pp. 897–929</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Quantum Scheduling – Encoding Comparison / QAOA+VQE</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https://doi.org/10.31577/cai_2021_4_897</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Compares three encoding schemes (one-hot, binary, domain-wall) for workflow scheduling with QAOA and VQE. Proves that one-hot encoding is not optimal despite its popularity: denser binary or domain-wall encodings allow significantly larger instances on the same qubit budget. Combining encodings with dedicated QAOA mixers reduces infeasible solutions and narrows the search space.</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Critical for optimizing the QUBO layout for GPU simulation: switching from one-hot to domain-wall or binary encoding with custom mixers can dramatically reduce qubit requirements for HPC scheduling instances. Directly informs qubit budget decisions when mapping HPC job variables onto the GPU simulator.</w:t>
            </w:r>
          </w:p>
        </w:tc>
      </w:tr>
    </w:tbl>
    <w:p>
      <w:pPr>
        <w:spacing w:after="40" w:before="80"/>
      </w:pPr>
    </w:p>
    <w:p>
      <w:pPr>
        <w:spacing w:after="0" w:before="200"/>
      </w:pPr>
      <w:r>
        <w:br w:type="page"/>
      </w:r>
    </w:p>
    <w:p>
      <w:pPr>
        <w:pStyle w:val="Heading2"/>
        <w:spacing w:after="100" w:before="260"/>
      </w:pPr>
      <w:r>
        <w:rPr>
          <w:rFonts w:ascii="Arial" w:cs="Arial" w:eastAsia="Arial" w:hAnsi="Arial"/>
          <w:b/>
          <w:bCs/>
          <w:color w:val="2E75B6"/>
          <w:sz w:val="26"/>
          <w:szCs w:val="26"/>
        </w:rPr>
        <w:t xml:space="preserve">Group C — GPU-Accelerated Quantum Simulation</w:t>
      </w:r>
    </w:p>
    <w:p>
      <w:pPr>
        <w:spacing w:after="100" w:before="60"/>
      </w:pPr>
      <w:r>
        <w:rPr>
          <w:rFonts w:ascii="Arial" w:cs="Arial" w:eastAsia="Arial" w:hAnsi="Arial"/>
          <w:sz w:val="20"/>
          <w:szCs w:val="20"/>
        </w:rPr>
        <w:t xml:space="preserve">Papers establishing the GPU simulation infrastructure (cuQuantum/CUDA-Q) and demonstrating QAOA simulation at HPC scale on NVIDIA A100/Frontier-class hardware.</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[P20]  </w:t>
            </w:r>
            <w:r>
              <w:rPr>
                <w:rFonts w:ascii="Arial" w:cs="Arial" w:eastAsia="Arial" w:hAnsi="Arial"/>
                <w:b/>
                <w:bCs/>
                <w:color w:val="FFFFFF"/>
                <w:sz w:val="20"/>
                <w:szCs w:val="20"/>
              </w:rPr>
              <w:t xml:space="preserve">cuQuantum SDK: A High-Performance Library for Accelerating Quantum Science</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Harun Bayraktar, Ali Charara, David Clark, et al. (NVIDIA)</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2023</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IEEE/ACM SC'23 Workshop on Quantum Computing Software  |  arXiv:2308.01999</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GPU-Accelerated Quantum Simulation – Infrastructure</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10/10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https://doi.org/10.1109/10313722  |  https://arxiv.org/abs/2308.01999</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Presents the NVIDIA cuQuantum SDK: cuStateVec (state-vector simulation) and cuTensorNet (tensor network contraction) libraries for GPU-accelerated quantum circuit simulation. Achieves 180× speedup over CPU for single-GPU simulation; demonstrated 93%-accurate QAOA solution for a 10,000-vertex MaxCut (5,000 qubits) using tensor networks. Supports multi-node multi-GPU distribution with near-linear scaling. Backbone of CUDA-Q.</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Forms the software bedrock of the entire project. All CUDA-Q QAOA simulations run through cuQuantum's cuStateVec or cuTensorNet. This paper justifies why large-scale quantum scheduling simulations are physically feasible on A100 GPUs and explains the exact mechanics of the simulation acceleration.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[P9]  </w:t>
            </w:r>
            <w:r>
              <w:rPr>
                <w:rFonts w:ascii="Arial" w:cs="Arial" w:eastAsia="Arial" w:hAnsi="Arial"/>
                <w:b/>
                <w:bCs/>
                <w:color w:val="FFFFFF"/>
                <w:sz w:val="20"/>
                <w:szCs w:val="20"/>
              </w:rPr>
              <w:t xml:space="preserve">Fast Simulation of High-Depth QAOA Circuits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Danylo Lykov, Ruslan Shaydulin, Yue Sun, Yuri Alexeev, Marco Pistoia</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2023</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SC'23 Workshops – IEEE/ACM QCS  |  arXiv:2309.04841</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GPU-Accelerated QAOA Simulation</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https://doi.org/10.1145/3624062.3624216</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Presents QOKit: a QAOA-specific simulator using CPU and GPU (NVIDIA cuStateVec backend). Achieves 11× speedup for parameter optimization at 26 qubits vs. standard state-vector simulators by precomputing the diagonal problem Hamiltonian — amortizing the cost over all circuit evaluations. Demonstrates weak scaling on Polaris supercomputer with cuStateVec delivering an additional ~2× speedup.</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Directly validates the GPU simulation approach and provides the specific precomputation technique used to accelerate QAOA on HPC hardware. The QOKit + cuStateVec workflow mirrors the CUDA-Q/cuQuantum simulation pipeline on A100s that this project targets.</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[P10]  </w:t>
            </w:r>
            <w:r>
              <w:rPr>
                <w:rFonts w:ascii="Arial" w:cs="Arial" w:eastAsia="Arial" w:hAnsi="Arial"/>
                <w:b/>
                <w:bCs/>
                <w:color w:val="FFFFFF"/>
                <w:sz w:val="20"/>
                <w:szCs w:val="20"/>
              </w:rPr>
              <w:t xml:space="preserve">GPU-Accelerated Distributed QAOA on Large-Scale HPC Ecosystems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Tengfei Luo, Frank Mueller, In-Saeng Suh</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2025</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arXiv:2506.10531</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GPU-Accelerated Distributed QAOA / HPC</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10/10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https://arxiv.org/abs/2506.10531</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Extends Distributed QAOA (DQAOA) with advanced QUBO decomposition strategies (IFD, BFS, PFS) and MPI parallel execution on the Frontier CPU/GPU supercomputer. Sub-QUBOs are solved in parallel across GPUs and results iteratively aggregated into a global solution. GPU execution achieves up to 10× speedup over CPU; validates strong/weak scaling of DQAOA at HPC scale.</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The closest existing paper to this project's exact scenario: GPU-accelerated distributed QAOA with QUBO decomposition on a leadership HPC system. The IFD decomposition strategy and multi-GPU aggregation loop are directly applicable when scheduling QUBO sizes exceed single-device simulator capacity.</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[P16]  </w:t>
            </w:r>
            <w:r>
              <w:rPr>
                <w:rFonts w:ascii="Arial" w:cs="Arial" w:eastAsia="Arial" w:hAnsi="Arial"/>
                <w:b/>
                <w:bCs/>
                <w:color w:val="FFFFFF"/>
                <w:sz w:val="20"/>
                <w:szCs w:val="20"/>
              </w:rPr>
              <w:t xml:space="preserve">Simulations of Quantum Approximate Optimization Algorithm on HPC-QC Integrated Systems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Seongmin Kim, Tengfei Luo, Eungkyu Lee, In-Saeng Suh (ORNL)</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2024</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ORNL Technical Report / arXiv:2407.20212</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QAOA on HPC-QC Integrated Systems</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8/10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https://arxiv.org/abs/2407.20212</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Analyzes QAOA performance across simulator types (density_matrix, statevector, MPS) on both local computers and HPC-QC integrated systems using OLCF's Frontier supercomputer with Qiskit Aer and IBM Quantum backends. Demonstrates that combining HPC resources with quantum simulation frameworks significantly enhances accuracy and problem-solving time for QUBO instances on an active learning workflow.</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Directly supports the operational goal of benchmarking QAOA using classical HPC/GPU resources. Confirms that HPC-QC simulation on Frontier-class systems is a valid and necessary testbed for evaluating quantum algorithms, and provides comparative simulator methodology directly applicable to this project's A100-based setup.</w:t>
            </w:r>
          </w:p>
        </w:tc>
      </w:tr>
    </w:tbl>
    <w:p>
      <w:pPr>
        <w:spacing w:after="40" w:before="80"/>
      </w:pPr>
    </w:p>
    <w:p>
      <w:pPr>
        <w:spacing w:after="0" w:before="200"/>
      </w:pPr>
      <w:r>
        <w:br w:type="page"/>
      </w:r>
    </w:p>
    <w:p>
      <w:pPr>
        <w:pStyle w:val="Heading2"/>
        <w:spacing w:after="100" w:before="260"/>
      </w:pPr>
      <w:r>
        <w:rPr>
          <w:rFonts w:ascii="Arial" w:cs="Arial" w:eastAsia="Arial" w:hAnsi="Arial"/>
          <w:b/>
          <w:bCs/>
          <w:color w:val="2E75B6"/>
          <w:sz w:val="26"/>
          <w:szCs w:val="26"/>
        </w:rPr>
        <w:t xml:space="preserve">Group D — Hybrid Decomposition &amp; Resource Scheduling</w:t>
      </w:r>
    </w:p>
    <w:p>
      <w:pPr>
        <w:spacing w:after="100" w:before="60"/>
      </w:pPr>
      <w:r>
        <w:rPr>
          <w:rFonts w:ascii="Arial" w:cs="Arial" w:eastAsia="Arial" w:hAnsi="Arial"/>
          <w:sz w:val="20"/>
          <w:szCs w:val="20"/>
        </w:rPr>
        <w:t xml:space="preserve">Papers on spatial-temporal decomposition, Benders decomposition, and hybrid quantum-classical frameworks for resource allocation — directly informing the project's architectural design.</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[P4]  </w:t>
            </w:r>
            <w:r>
              <w:rPr>
                <w:rFonts w:ascii="Arial" w:cs="Arial" w:eastAsia="Arial" w:hAnsi="Arial"/>
                <w:b/>
                <w:bCs/>
                <w:color w:val="FFFFFF"/>
                <w:sz w:val="20"/>
                <w:szCs w:val="20"/>
              </w:rPr>
              <w:t xml:space="preserve">An Empirical Evaluation of Quantum-Inspired QUBO Methods for Heterogeneous HPC Workflow Mapping and Scheduling</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Aasish Kumar Sharma, Julian Kunkel et al.</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2024</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NHR Conference / HPC Workflow Mapping Research (technical report/preprint)</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HPC Workflow Scheduling – QUBO Empirical</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10/10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https://hps.vi4io.org/about/people/aasish_kumar_sharma  (see NHR 2024 poster/thesis)</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Investigates QUBO formulations for heterogeneous HPC workflow scheduling, testing quantum-inspired simulated annealing against MILP, CP-SAT, and HEFT. Identifies a 'penalty fragility' threshold through progressive constraint activation: capacity and precedence constraints are manageable, but adding communication costs causes QUBO feasibility to collapse beyond 15–20 tasks unless dynamic penalty sweeps are applied.</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The core mathematical blueprint for this project. Formally identifies the exact bottleneck (penalty fragility) being overcome. Validates the design decision to isolate spatial mapping to QUBO while handling temporal scheduling classically. Essential citation for the problem motivation.</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[P12]  </w:t>
            </w:r>
            <w:r>
              <w:rPr>
                <w:rFonts w:ascii="Arial" w:cs="Arial" w:eastAsia="Arial" w:hAnsi="Arial"/>
                <w:b/>
                <w:bCs/>
                <w:color w:val="FFFFFF"/>
                <w:sz w:val="20"/>
                <w:szCs w:val="20"/>
              </w:rPr>
              <w:t xml:space="preserve">Hybrid Quantum-Classical Optimization of the Resource Scheduling Problem</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Tyler Christeson, Md Habib Ullah, Ali Arabnya, et al.</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2025</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arXiv:2511.00733</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Hybrid Quantum-Classical Scheduling – Benders Decomposition</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https://arxiv.org/abs/2511.00733</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sz w:val="17"/>
                <w:szCs w:val="17"/>
              </w:rPr>
              <w:t xml:space="preserve">Applies Benders decomposition to the Unit Commitment (resource scheduling) problem: binary commitment decisions are formulated as QUBO and assigned to a quantum annealer (master problem); continuous generation cost minimization is solved classically (subproblem). Lagrangian cuts iterate between layers until convergence. Tested on systems from 10 to 1,000 generation units; achieves &lt;1.63% optimality gap with lower computational growth than classical MINLP.</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Mirrors the project's spatial/temporal decomposition strategy exactly. Provides strong architectural validation for using quantum algorithms strictly for binary spatial resource assignment (e.g., GPU-to-job mapping) while leaving continuous temporal scheduling to classical solvers. The Benders cut mechanism is directly adaptable to HPC scheduling.</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60"/>
        <w:gridCol w:w="2600"/>
        <w:gridCol w:w="2200"/>
        <w:gridCol w:w="500"/>
      </w:tblGrid>
      <w:tr>
        <w:tc>
          <w:tcPr>
            <w:tcW w:type="dxa" w:w="9360"/>
            <w:gridSpan w:val="5"/>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r>
              <w:rPr>
                <w:rFonts w:ascii="Arial" w:cs="Arial" w:eastAsia="Arial" w:hAnsi="Arial"/>
                <w:b/>
                <w:bCs/>
                <w:color w:val="A9C4E8"/>
                <w:sz w:val="20"/>
                <w:szCs w:val="20"/>
              </w:rPr>
              <w:t xml:space="preserve">[P15]  </w:t>
            </w:r>
            <w:r>
              <w:rPr>
                <w:rFonts w:ascii="Arial" w:cs="Arial" w:eastAsia="Arial" w:hAnsi="Arial"/>
                <w:b/>
                <w:bCs/>
                <w:color w:val="FFFFFF"/>
                <w:sz w:val="20"/>
                <w:szCs w:val="20"/>
              </w:rPr>
              <w:t xml:space="preserve">Scaling QAOA: Transferring Optimal Adiabatic Schedules from Small-Scale to Large-Scale Variational Circuits</w:t>
            </w:r>
          </w:p>
        </w:tc>
      </w:tr>
      <w:tr>
        <w:tc>
          <w:tcPr>
            <w:tcW w:type="dxa" w:w="25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Ugo Nzongani, Dylan Laplace Mermoud, Arthur Braida</w:t>
            </w:r>
          </w:p>
        </w:tc>
        <w:tc>
          <w:tcPr>
            <w:tcW w:type="dxa" w:w="56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F3864"/>
                <w:sz w:val="17"/>
                <w:szCs w:val="17"/>
              </w:rPr>
              <w:t xml:space="preserve">2025</w:t>
            </w:r>
          </w:p>
        </w:tc>
        <w:tc>
          <w:tcPr>
            <w:tcW w:type="dxa" w:w="26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595959"/>
                <w:sz w:val="17"/>
                <w:szCs w:val="17"/>
              </w:rPr>
              <w:t xml:space="preserve">arXiv:2602.14986</w:t>
            </w:r>
          </w:p>
        </w:tc>
        <w:tc>
          <w:tcPr>
            <w:tcW w:type="dxa" w:w="2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val="false"/>
                <w:bCs w:val="false"/>
                <w:color w:val="17375E"/>
                <w:sz w:val="17"/>
                <w:szCs w:val="17"/>
              </w:rPr>
              <w:t xml:space="preserve">QAOA Scalability – Parameter Transfer</w:t>
            </w:r>
          </w:p>
        </w:tc>
        <w:tc>
          <w:tcPr>
            <w:tcW w:type="dxa" w:w="50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bCs/>
                <w:color w:val="276221"/>
                <w:sz w:val="17"/>
                <w:szCs w:val="17"/>
              </w:rPr>
              <w:t xml:space="preserve">9/10</w:t>
            </w:r>
          </w:p>
        </w:tc>
      </w:tr>
      <w:tr>
        <w:tc>
          <w:tcPr>
            <w:tcW w:type="dxa" w:w="9360"/>
            <w:gridSpan w:val="5"/>
            <w:tcBorders>
              <w:top w:val="single" w:color="BDD7EE" w:sz="1"/>
              <w:left w:val="single" w:color="BDD7EE" w:sz="1"/>
              <w:bottom w:val="single" w:color="BDD7EE" w:sz="1"/>
              <w:right w:val="single" w:color="BDD7EE" w:sz="1"/>
            </w:tcBorders>
            <w:shd w:fill="D6E4F0" w:val="clear"/>
            <w:tcMar>
              <w:top w:type="dxa" w:w="60"/>
              <w:left w:type="dxa" w:w="140"/>
              <w:bottom w:type="dxa" w:w="60"/>
              <w:right w:type="dxa" w:w="140"/>
            </w:tcMar>
          </w:tcPr>
          <w:p>
            <w:r>
              <w:rPr>
                <w:rFonts w:ascii="Arial" w:cs="Arial" w:eastAsia="Arial" w:hAnsi="Arial"/>
                <w:b/>
                <w:bCs/>
                <w:color w:val="17375E"/>
                <w:sz w:val="17"/>
                <w:szCs w:val="17"/>
              </w:rPr>
              <w:t xml:space="preserve">DOI / Link:  </w:t>
            </w:r>
            <w:r>
              <w:rPr>
                <w:rFonts w:ascii="Arial" w:cs="Arial" w:eastAsia="Arial" w:hAnsi="Arial"/>
                <w:color w:val="1155CC"/>
                <w:sz w:val="17"/>
                <w:szCs w:val="17"/>
              </w:rPr>
              <w:t xml:space="preserve">https://arxiv.org/abs/2602.14986</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Summary</w:t>
            </w:r>
          </w:p>
        </w:tc>
        <w:tc>
          <w:tcPr>
            <w:tcW w:type="dxa" w:w="8160"/>
            <w:gridSpan w:val="4"/>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sz w:val="17"/>
                <w:szCs w:val="17"/>
              </w:rPr>
              <w:t xml:space="preserve">Addresses the 2p-parameter scaling bottleneck in deep QAOA by extracting a spectral-gap profile from small classically tractable instances and constructing a continuous adiabatic schedule. This schedule is then discretized into closed-form QAOA angles, compressing optimization from 2p free parameters down to just 2 global hyperparameters. Transfers optimal schedules from small to large instances without reoptimization.</w:t>
            </w:r>
          </w:p>
        </w:tc>
      </w:tr>
      <w:tr>
        <w:tc>
          <w:tcPr>
            <w:tcW w:type="dxa" w:w="1200"/>
            <w:tcBorders>
              <w:top w:val="single" w:color="BDD7EE" w:sz="1"/>
              <w:left w:val="single" w:color="BDD7EE" w:sz="1"/>
              <w:bottom w:val="single" w:color="BDD7EE" w:sz="1"/>
              <w:right w:val="single" w:color="BDD7EE" w:sz="1"/>
            </w:tcBorders>
            <w:shd w:fill="F5F9FD" w:val="clear"/>
            <w:tcMar>
              <w:top w:type="dxa" w:w="72"/>
              <w:left w:type="dxa" w:w="110"/>
              <w:bottom w:type="dxa" w:w="72"/>
              <w:right w:type="dxa" w:w="110"/>
            </w:tcMar>
            <w:vAlign w:val="top"/>
          </w:tcPr>
          <w:p>
            <w:r>
              <w:rPr>
                <w:rFonts w:ascii="Arial" w:cs="Arial" w:eastAsia="Arial" w:hAnsi="Arial"/>
                <w:b/>
                <w:bCs/>
                <w:color w:val="17375E"/>
                <w:sz w:val="17"/>
                <w:szCs w:val="17"/>
              </w:rPr>
              <w:t xml:space="preserve">Project Relevance</w:t>
            </w:r>
          </w:p>
        </w:tc>
        <w:tc>
          <w:tcPr>
            <w:tcW w:type="dxa" w:w="8160"/>
            <w:gridSpan w:val="4"/>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sz w:val="17"/>
                <w:szCs w:val="17"/>
              </w:rPr>
              <w:t xml:space="preserve">The exact theoretical mechanism for the parameter transfer strategy in this project. Validates the ability to pre-train QAOA parameters on simplified HPC scheduling instances and transfer them to complex large-scale simulations, avoiding barren plateaus entirely and reducing classical optimization overhead to nearly zero.</w:t>
            </w:r>
          </w:p>
        </w:tc>
      </w:tr>
    </w:tbl>
    <w:p>
      <w:pPr>
        <w:spacing w:after="40" w:before="80"/>
      </w:pPr>
    </w:p>
    <w:p>
      <w:pPr>
        <w:spacing w:after="0" w:before="200"/>
      </w:pPr>
      <w:r>
        <w:br w:type="page"/>
      </w:r>
    </w:p>
    <w:p>
      <w:pPr>
        <w:pStyle w:val="Heading1"/>
        <w:pBdr>
          <w:bottom w:val="single" w:color="2E75B6" w:sz="10" w:space="4"/>
        </w:pBdr>
        <w:spacing w:after="140" w:before="320"/>
      </w:pPr>
      <w:r>
        <w:rPr>
          <w:rFonts w:ascii="Arial" w:cs="Arial" w:eastAsia="Arial" w:hAnsi="Arial"/>
          <w:b/>
          <w:bCs/>
          <w:color w:val="1F3864"/>
          <w:sz w:val="32"/>
          <w:szCs w:val="32"/>
        </w:rPr>
        <w:t xml:space="preserve">3. Top 10 Must-Read Papers</w:t>
      </w:r>
    </w:p>
    <w:p>
      <w:pPr>
        <w:spacing w:after="100" w:before="60"/>
      </w:pPr>
      <w:r>
        <w:rPr>
          <w:rFonts w:ascii="Arial" w:cs="Arial" w:eastAsia="Arial" w:hAnsi="Arial"/>
          <w:sz w:val="20"/>
          <w:szCs w:val="20"/>
        </w:rPr>
        <w:t xml:space="preserve">Ranked from most to least important for this project. Read in this order to build up the knowledge base efficiently.</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
        <w:gridCol w:w="480"/>
        <w:gridCol w:w="3200"/>
        <w:gridCol w:w="4460"/>
      </w:tblGrid>
      <w:tr>
        <w:tc>
          <w:tcPr>
            <w:tcW w:type="dxa" w:w="46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Rank</w:t>
            </w:r>
          </w:p>
        </w:tc>
        <w:tc>
          <w:tcPr>
            <w:tcW w:type="dxa" w:w="48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ID</w:t>
            </w:r>
          </w:p>
        </w:tc>
        <w:tc>
          <w:tcPr>
            <w:tcW w:type="dxa" w:w="320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Paper Title</w:t>
            </w:r>
          </w:p>
        </w:tc>
        <w:tc>
          <w:tcPr>
            <w:tcW w:type="dxa" w:w="4460"/>
            <w:tcBorders>
              <w:top w:val="single" w:color="FFFFFF" w:sz="1"/>
              <w:left w:val="single" w:color="FFFFFF" w:sz="1"/>
              <w:bottom w:val="single" w:color="FFFFFF" w:sz="1"/>
              <w:right w:val="single" w:color="FFFFFF" w:sz="1"/>
            </w:tcBorders>
            <w:shd w:fill="1F3864" w:val="clear"/>
            <w:tcMar>
              <w:top w:type="dxa" w:w="80"/>
              <w:left w:type="dxa" w:w="110"/>
              <w:bottom w:type="dxa" w:w="80"/>
              <w:right w:type="dxa" w:w="110"/>
            </w:tcMar>
          </w:tcPr>
          <w:p>
            <w:r>
              <w:rPr>
                <w:rFonts w:ascii="Arial" w:cs="Arial" w:eastAsia="Arial" w:hAnsi="Arial"/>
                <w:b/>
                <w:bCs/>
                <w:color w:val="FFFFFF"/>
                <w:sz w:val="18"/>
                <w:szCs w:val="18"/>
              </w:rPr>
              <w:t xml:space="preserve">Why It's Essential</w:t>
            </w:r>
          </w:p>
        </w:tc>
      </w:tr>
      <w:tr>
        <w:tc>
          <w:tcPr>
            <w:tcW w:type="dxa" w:w="46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1F3864"/>
                <w:sz w:val="17"/>
                <w:szCs w:val="17"/>
              </w:rPr>
              <w:t xml:space="preserve">1</w:t>
            </w:r>
          </w:p>
        </w:tc>
        <w:tc>
          <w:tcPr>
            <w:tcW w:type="dxa" w:w="48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2E75B6"/>
                <w:sz w:val="17"/>
                <w:szCs w:val="17"/>
              </w:rPr>
              <w:t xml:space="preserve">P2</w:t>
            </w:r>
          </w:p>
        </w:tc>
        <w:tc>
          <w:tcPr>
            <w:tcW w:type="dxa" w:w="320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A Quantum Approximate Optimization Algorithm</w:t>
            </w:r>
          </w:p>
        </w:tc>
        <w:tc>
          <w:tcPr>
            <w:tcW w:type="dxa" w:w="4460"/>
            <w:tcBorders>
              <w:top w:val="single" w:color="BDD7EE" w:sz="1"/>
              <w:left w:val="single" w:color="BDD7EE" w:sz="1"/>
              <w:bottom w:val="single" w:color="BDD7EE" w:sz="1"/>
              <w:right w:val="single" w:color="BDD7EE" w:sz="1"/>
            </w:tcBorders>
            <w:shd w:fill="F0FAF0"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Foundational — every QAOA circuit and bound in this project traces to this paper. Non-negotiable citation.</w:t>
            </w:r>
          </w:p>
        </w:tc>
      </w:tr>
      <w:tr>
        <w:tc>
          <w:tcPr>
            <w:tcW w:type="dxa" w:w="46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F3864"/>
                <w:sz w:val="17"/>
                <w:szCs w:val="17"/>
              </w:rPr>
              <w:t xml:space="preserve">2</w:t>
            </w:r>
          </w:p>
        </w:tc>
        <w:tc>
          <w:tcPr>
            <w:tcW w:type="dxa" w:w="48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2E75B6"/>
                <w:sz w:val="17"/>
                <w:szCs w:val="17"/>
              </w:rPr>
              <w:t xml:space="preserve">P10</w:t>
            </w:r>
          </w:p>
        </w:tc>
        <w:tc>
          <w:tcPr>
            <w:tcW w:type="dxa" w:w="32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GPU-Accelerated Distributed QAOA on HPC Ecosystems</w:t>
            </w:r>
          </w:p>
        </w:tc>
        <w:tc>
          <w:tcPr>
            <w:tcW w:type="dxa" w:w="446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Exact methodological analog: DQAOA + QUBO decomposition + Frontier GPU cluster. Directly informs GPU deployment and decomposition strategy.</w:t>
            </w:r>
          </w:p>
        </w:tc>
      </w:tr>
      <w:tr>
        <w:tc>
          <w:tcPr>
            <w:tcW w:type="dxa" w:w="46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1F3864"/>
                <w:sz w:val="17"/>
                <w:szCs w:val="17"/>
              </w:rPr>
              <w:t xml:space="preserve">3</w:t>
            </w:r>
          </w:p>
        </w:tc>
        <w:tc>
          <w:tcPr>
            <w:tcW w:type="dxa" w:w="48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2E75B6"/>
                <w:sz w:val="17"/>
                <w:szCs w:val="17"/>
              </w:rPr>
              <w:t xml:space="preserve">P20</w:t>
            </w:r>
          </w:p>
        </w:tc>
        <w:tc>
          <w:tcPr>
            <w:tcW w:type="dxa" w:w="320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cuQuantum SDK</w:t>
            </w:r>
          </w:p>
        </w:tc>
        <w:tc>
          <w:tcPr>
            <w:tcW w:type="dxa" w:w="4460"/>
            <w:tcBorders>
              <w:top w:val="single" w:color="BDD7EE" w:sz="1"/>
              <w:left w:val="single" w:color="BDD7EE" w:sz="1"/>
              <w:bottom w:val="single" w:color="BDD7EE" w:sz="1"/>
              <w:right w:val="single" w:color="BDD7EE" w:sz="1"/>
            </w:tcBorders>
            <w:shd w:fill="F0FAF0"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The simulation library powering every CUDA-Q experiment in the project. Justifies hardware feasibility of large-scale scheduling QUBO simulation on A100s.</w:t>
            </w:r>
          </w:p>
        </w:tc>
      </w:tr>
      <w:tr>
        <w:tc>
          <w:tcPr>
            <w:tcW w:type="dxa" w:w="46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F3864"/>
                <w:sz w:val="17"/>
                <w:szCs w:val="17"/>
              </w:rPr>
              <w:t xml:space="preserve">4</w:t>
            </w:r>
          </w:p>
        </w:tc>
        <w:tc>
          <w:tcPr>
            <w:tcW w:type="dxa" w:w="48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2E75B6"/>
                <w:sz w:val="17"/>
                <w:szCs w:val="17"/>
              </w:rPr>
              <w:t xml:space="preserve">P4</w:t>
            </w:r>
          </w:p>
        </w:tc>
        <w:tc>
          <w:tcPr>
            <w:tcW w:type="dxa" w:w="32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Empirical Evaluation of QUBO Methods for HPC Workflow Scheduling</w:t>
            </w:r>
          </w:p>
        </w:tc>
        <w:tc>
          <w:tcPr>
            <w:tcW w:type="dxa" w:w="446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Identifies the core 'penalty fragility' bottleneck the project aims to solve. The mathematical blueprint for the QUBO formulation approach.</w:t>
            </w:r>
          </w:p>
        </w:tc>
      </w:tr>
      <w:tr>
        <w:tc>
          <w:tcPr>
            <w:tcW w:type="dxa" w:w="46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1F3864"/>
                <w:sz w:val="17"/>
                <w:szCs w:val="17"/>
              </w:rPr>
              <w:t xml:space="preserve">5</w:t>
            </w:r>
          </w:p>
        </w:tc>
        <w:tc>
          <w:tcPr>
            <w:tcW w:type="dxa" w:w="48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2E75B6"/>
                <w:sz w:val="17"/>
                <w:szCs w:val="17"/>
              </w:rPr>
              <w:t xml:space="preserve">P9</w:t>
            </w:r>
          </w:p>
        </w:tc>
        <w:tc>
          <w:tcPr>
            <w:tcW w:type="dxa" w:w="320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Fast Simulation of High-Depth QAOA Circuits</w:t>
            </w:r>
          </w:p>
        </w:tc>
        <w:tc>
          <w:tcPr>
            <w:tcW w:type="dxa" w:w="4460"/>
            <w:tcBorders>
              <w:top w:val="single" w:color="BDD7EE" w:sz="1"/>
              <w:left w:val="single" w:color="BDD7EE" w:sz="1"/>
              <w:bottom w:val="single" w:color="BDD7EE" w:sz="1"/>
              <w:right w:val="single" w:color="BDD7EE" w:sz="1"/>
            </w:tcBorders>
            <w:shd w:fill="F0FAF0"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Validates GPU acceleration for QAOA via cuStateVec and provides the precomputation optimization directly applicable to A100 simulations.</w:t>
            </w:r>
          </w:p>
        </w:tc>
      </w:tr>
      <w:tr>
        <w:tc>
          <w:tcPr>
            <w:tcW w:type="dxa" w:w="46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F3864"/>
                <w:sz w:val="17"/>
                <w:szCs w:val="17"/>
              </w:rPr>
              <w:t xml:space="preserve">6</w:t>
            </w:r>
          </w:p>
        </w:tc>
        <w:tc>
          <w:tcPr>
            <w:tcW w:type="dxa" w:w="48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2E75B6"/>
                <w:sz w:val="17"/>
                <w:szCs w:val="17"/>
              </w:rPr>
              <w:t xml:space="preserve">P15</w:t>
            </w:r>
          </w:p>
        </w:tc>
        <w:tc>
          <w:tcPr>
            <w:tcW w:type="dxa" w:w="32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Scaling QAOA: Transferring Adiabatic Schedules</w:t>
            </w:r>
          </w:p>
        </w:tc>
        <w:tc>
          <w:tcPr>
            <w:tcW w:type="dxa" w:w="446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Validates the parameter transfer mechanism central to the project: reduces 2p-parameter optimization to 2 global hyperparameters.</w:t>
            </w:r>
          </w:p>
        </w:tc>
      </w:tr>
      <w:tr>
        <w:tc>
          <w:tcPr>
            <w:tcW w:type="dxa" w:w="46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1F3864"/>
                <w:sz w:val="17"/>
                <w:szCs w:val="17"/>
              </w:rPr>
              <w:t xml:space="preserve">7</w:t>
            </w:r>
          </w:p>
        </w:tc>
        <w:tc>
          <w:tcPr>
            <w:tcW w:type="dxa" w:w="48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2E75B6"/>
                <w:sz w:val="17"/>
                <w:szCs w:val="17"/>
              </w:rPr>
              <w:t xml:space="preserve">P14</w:t>
            </w:r>
          </w:p>
        </w:tc>
        <w:tc>
          <w:tcPr>
            <w:tcW w:type="dxa" w:w="320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Quantum Bridge Analytics I: QUBO Tutorial</w:t>
            </w:r>
          </w:p>
        </w:tc>
        <w:tc>
          <w:tcPr>
            <w:tcW w:type="dxa" w:w="4460"/>
            <w:tcBorders>
              <w:top w:val="single" w:color="BDD7EE" w:sz="1"/>
              <w:left w:val="single" w:color="BDD7EE" w:sz="1"/>
              <w:bottom w:val="single" w:color="BDD7EE" w:sz="1"/>
              <w:right w:val="single" w:color="BDD7EE" w:sz="1"/>
            </w:tcBorders>
            <w:shd w:fill="F0FAF0"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The canonical guide for encoding HPC scheduling constraints as QUBO penalty terms. Essential reference for every QUBO matrix construction decision.</w:t>
            </w:r>
          </w:p>
        </w:tc>
      </w:tr>
      <w:tr>
        <w:tc>
          <w:tcPr>
            <w:tcW w:type="dxa" w:w="46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F3864"/>
                <w:sz w:val="17"/>
                <w:szCs w:val="17"/>
              </w:rPr>
              <w:t xml:space="preserve">8</w:t>
            </w:r>
          </w:p>
        </w:tc>
        <w:tc>
          <w:tcPr>
            <w:tcW w:type="dxa" w:w="48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2E75B6"/>
                <w:sz w:val="17"/>
                <w:szCs w:val="17"/>
              </w:rPr>
              <w:t xml:space="preserve">P6</w:t>
            </w:r>
          </w:p>
        </w:tc>
        <w:tc>
          <w:tcPr>
            <w:tcW w:type="dxa" w:w="32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Application of QAOA to Job Shop Scheduling</w:t>
            </w:r>
          </w:p>
        </w:tc>
        <w:tc>
          <w:tcPr>
            <w:tcW w:type="dxa" w:w="446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Proves smooth parameter interpolation patterns for JSSP — directly validates the parameter transfer strategy applied to HPC scheduling circuits.</w:t>
            </w:r>
          </w:p>
        </w:tc>
      </w:tr>
      <w:tr>
        <w:tc>
          <w:tcPr>
            <w:tcW w:type="dxa" w:w="46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1F3864"/>
                <w:sz w:val="17"/>
                <w:szCs w:val="17"/>
              </w:rPr>
              <w:t xml:space="preserve">9</w:t>
            </w:r>
          </w:p>
        </w:tc>
        <w:tc>
          <w:tcPr>
            <w:tcW w:type="dxa" w:w="48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bCs/>
                <w:color w:val="2E75B6"/>
                <w:sz w:val="17"/>
                <w:szCs w:val="17"/>
              </w:rPr>
              <w:t xml:space="preserve">P12</w:t>
            </w:r>
          </w:p>
        </w:tc>
        <w:tc>
          <w:tcPr>
            <w:tcW w:type="dxa" w:w="3200"/>
            <w:tcBorders>
              <w:top w:val="single" w:color="BDD7EE" w:sz="1"/>
              <w:left w:val="single" w:color="BDD7EE" w:sz="1"/>
              <w:bottom w:val="single" w:color="BDD7EE" w:sz="1"/>
              <w:right w:val="single" w:color="BDD7EE" w:sz="1"/>
            </w:tcBorders>
            <w:shd w:fill="FFFFFF"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Hybrid Quantum-Classical Optimization of the Resource Scheduling Problem</w:t>
            </w:r>
          </w:p>
        </w:tc>
        <w:tc>
          <w:tcPr>
            <w:tcW w:type="dxa" w:w="4460"/>
            <w:tcBorders>
              <w:top w:val="single" w:color="BDD7EE" w:sz="1"/>
              <w:left w:val="single" w:color="BDD7EE" w:sz="1"/>
              <w:bottom w:val="single" w:color="BDD7EE" w:sz="1"/>
              <w:right w:val="single" w:color="BDD7EE" w:sz="1"/>
            </w:tcBorders>
            <w:shd w:fill="F0FAF0"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Validates the Benders decomposition architecture: quantum binary master + classical continuous subproblem, mirroring the spatial/temporal split.</w:t>
            </w:r>
          </w:p>
        </w:tc>
      </w:tr>
      <w:tr>
        <w:tc>
          <w:tcPr>
            <w:tcW w:type="dxa" w:w="46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1F3864"/>
                <w:sz w:val="17"/>
                <w:szCs w:val="17"/>
              </w:rPr>
              <w:t xml:space="preserve">10</w:t>
            </w:r>
          </w:p>
        </w:tc>
        <w:tc>
          <w:tcPr>
            <w:tcW w:type="dxa" w:w="48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bCs/>
                <w:color w:val="2E75B6"/>
                <w:sz w:val="17"/>
                <w:szCs w:val="17"/>
              </w:rPr>
              <w:t xml:space="preserve">P3</w:t>
            </w:r>
          </w:p>
        </w:tc>
        <w:tc>
          <w:tcPr>
            <w:tcW w:type="dxa" w:w="3200"/>
            <w:tcBorders>
              <w:top w:val="single" w:color="BDD7EE" w:sz="1"/>
              <w:left w:val="single" w:color="BDD7EE" w:sz="1"/>
              <w:bottom w:val="single" w:color="BDD7EE" w:sz="1"/>
              <w:right w:val="single" w:color="BDD7EE" w:sz="1"/>
            </w:tcBorders>
            <w:shd w:fill="EBF3FB"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A Case Study of VQAs for Job Shop Scheduling</w:t>
            </w:r>
          </w:p>
        </w:tc>
        <w:tc>
          <w:tcPr>
            <w:tcW w:type="dxa" w:w="4460"/>
            <w:tcBorders>
              <w:top w:val="single" w:color="BDD7EE" w:sz="1"/>
              <w:left w:val="single" w:color="BDD7EE" w:sz="1"/>
              <w:bottom w:val="single" w:color="BDD7EE" w:sz="1"/>
              <w:right w:val="single" w:color="BDD7EE" w:sz="1"/>
            </w:tcBorders>
            <w:shd w:fill="E2EFDA" w:val="clear"/>
            <w:tcMar>
              <w:top w:type="dxa" w:w="72"/>
              <w:left w:type="dxa" w:w="110"/>
              <w:bottom w:type="dxa" w:w="72"/>
              <w:right w:type="dxa" w:w="110"/>
            </w:tcMar>
            <w:vAlign w:val="top"/>
          </w:tcPr>
          <w:p>
            <w:r>
              <w:rPr>
                <w:rFonts w:ascii="Arial" w:cs="Arial" w:eastAsia="Arial" w:hAnsi="Arial"/>
                <w:b w:val="false"/>
                <w:bCs w:val="false"/>
                <w:color w:val="000000"/>
                <w:sz w:val="17"/>
                <w:szCs w:val="17"/>
              </w:rPr>
              <w:t xml:space="preserve">Comparative benchmark showing standard QAOA limitations on JSSP hardware — justifies advanced decomposition and parameter strategies.</w:t>
            </w:r>
          </w:p>
        </w:tc>
      </w:tr>
    </w:tbl>
    <w:p>
      <w:pPr>
        <w:spacing w:after="40" w:before="80"/>
      </w:pPr>
    </w:p>
    <w:p>
      <w:pPr>
        <w:pBdr>
          <w:top w:val="single" w:color="2E75B6" w:sz="6" w:space="4"/>
        </w:pBdr>
        <w:spacing w:after="80" w:before="320"/>
      </w:pPr>
      <w:r>
        <w:rPr>
          <w:rFonts w:ascii="Arial" w:cs="Arial" w:eastAsia="Arial" w:hAnsi="Arial"/>
          <w:b/>
          <w:bCs/>
          <w:color w:val="1F3864"/>
          <w:sz w:val="20"/>
          <w:szCs w:val="20"/>
        </w:rPr>
        <w:t xml:space="preserve">Document Notes</w:t>
      </w:r>
    </w:p>
    <w:p>
      <w:pPr>
        <w:spacing w:after="100" w:before="60"/>
      </w:pPr>
      <w:r>
        <w:rPr>
          <w:rFonts w:ascii="Arial" w:cs="Arial" w:eastAsia="Arial" w:hAnsi="Arial"/>
          <w:sz w:val="20"/>
          <w:szCs w:val="20"/>
        </w:rPr>
        <w:t xml:space="preserve">All arXiv references are stable at https://arxiv.org/abs/[ID]. For papers also published in journals, both DOI forms are listed — use the journal DOI for formal citation and arXiv for open access. Paper 4 (HPC Workflow QUBO empirical evaluation) is an NHR 2024 technical report/thesis — verify final publication details before journal submission. Paper 7 (QAOA vs Annealing) is from 2019 but retained as a foundational theoretical demarcation paper with high citation count and no newer substitute.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2026-06-04T06:51:38.136Z</dcterms:created>
  <dcterms:modified xsi:type="dcterms:W3CDTF">2026-06-04T06:51:38.150Z</dcterms:modified>
</cp:coreProperties>
</file>

<file path=docProps/custom.xml><?xml version="1.0" encoding="utf-8"?>
<Properties xmlns="http://schemas.openxmlformats.org/officeDocument/2006/custom-properties" xmlns:vt="http://schemas.openxmlformats.org/officeDocument/2006/docPropsVTypes"/>
</file>