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15546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UMG-9Sep2014-3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A56CFF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50"/>
        </w:trPr>
        <w:tc>
          <w:tcPr>
            <w:tcW w:w="883" w:type="dxa"/>
          </w:tcPr>
          <w:p w:rsidR="00FC5CDC" w:rsidRPr="00747737" w:rsidRDefault="00FB02EA" w:rsidP="001F6329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</w:t>
            </w:r>
          </w:p>
        </w:tc>
        <w:tc>
          <w:tcPr>
            <w:tcW w:w="2430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5Sep2014-1</w:t>
            </w:r>
          </w:p>
        </w:tc>
        <w:tc>
          <w:tcPr>
            <w:tcW w:w="267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UMG-1037</w:t>
            </w:r>
          </w:p>
        </w:tc>
        <w:tc>
          <w:tcPr>
            <w:tcW w:w="212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If existing data is  corrupted then the download feature will not work and blank page is shown.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773C32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73C32" w:rsidRPr="00773C32" w:rsidRDefault="00A001A9" w:rsidP="001F6329">
            <w:r>
              <w:t>9/9/2014</w:t>
            </w:r>
          </w:p>
        </w:tc>
        <w:tc>
          <w:tcPr>
            <w:tcW w:w="1615" w:type="dxa"/>
            <w:shd w:val="clear" w:color="auto" w:fill="auto"/>
          </w:tcPr>
          <w:p w:rsidR="00773C32" w:rsidRPr="00773C32" w:rsidRDefault="008B6216" w:rsidP="005E5912">
            <w:pPr>
              <w:jc w:val="center"/>
            </w:pPr>
            <w: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73C32" w:rsidRPr="00773C32" w:rsidRDefault="00A001A9" w:rsidP="001F6329">
            <w:r>
              <w:t>UMG-1211</w:t>
            </w:r>
          </w:p>
        </w:tc>
        <w:tc>
          <w:tcPr>
            <w:tcW w:w="3315" w:type="dxa"/>
            <w:shd w:val="clear" w:color="auto" w:fill="auto"/>
          </w:tcPr>
          <w:p w:rsidR="00773C32" w:rsidRPr="00773C32" w:rsidRDefault="00773C32" w:rsidP="001F6329"/>
        </w:tc>
      </w:tr>
      <w:tr w:rsidR="00A001A9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A001A9" w:rsidRDefault="00A001A9" w:rsidP="001F6329">
            <w:r>
              <w:t>9/9/2014</w:t>
            </w:r>
          </w:p>
        </w:tc>
        <w:tc>
          <w:tcPr>
            <w:tcW w:w="1615" w:type="dxa"/>
            <w:shd w:val="clear" w:color="auto" w:fill="auto"/>
          </w:tcPr>
          <w:p w:rsidR="00A001A9" w:rsidRPr="00773C32" w:rsidRDefault="008B6216" w:rsidP="005E5912">
            <w:pPr>
              <w:jc w:val="center"/>
            </w:pPr>
            <w: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A001A9" w:rsidRDefault="00A001A9" w:rsidP="001F6329">
            <w:r>
              <w:t>UMG-1212</w:t>
            </w:r>
          </w:p>
        </w:tc>
        <w:tc>
          <w:tcPr>
            <w:tcW w:w="3315" w:type="dxa"/>
            <w:shd w:val="clear" w:color="auto" w:fill="auto"/>
          </w:tcPr>
          <w:p w:rsidR="00A001A9" w:rsidRPr="00773C32" w:rsidRDefault="00A001A9" w:rsidP="001F6329"/>
        </w:tc>
      </w:tr>
      <w:tr w:rsidR="00A001A9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A001A9" w:rsidRDefault="00A001A9" w:rsidP="00966D37">
            <w:r>
              <w:t>9/9/2014</w:t>
            </w:r>
          </w:p>
        </w:tc>
        <w:tc>
          <w:tcPr>
            <w:tcW w:w="1615" w:type="dxa"/>
            <w:shd w:val="clear" w:color="auto" w:fill="auto"/>
          </w:tcPr>
          <w:p w:rsidR="00A001A9" w:rsidRPr="00773C32" w:rsidRDefault="008B6216" w:rsidP="00966D37">
            <w:pPr>
              <w:jc w:val="center"/>
            </w:pPr>
            <w: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A001A9" w:rsidRDefault="00A001A9" w:rsidP="00966D37">
            <w:r>
              <w:t>UMG-1213</w:t>
            </w:r>
          </w:p>
        </w:tc>
        <w:tc>
          <w:tcPr>
            <w:tcW w:w="3315" w:type="dxa"/>
            <w:shd w:val="clear" w:color="auto" w:fill="auto"/>
          </w:tcPr>
          <w:p w:rsidR="00A001A9" w:rsidRPr="00773C32" w:rsidRDefault="00A001A9" w:rsidP="001F6329"/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Default="007A17D4" w:rsidP="00966D37">
            <w:r>
              <w:t>9/9/2014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8B6216" w:rsidP="00966D37">
            <w:pPr>
              <w:jc w:val="center"/>
            </w:pPr>
            <w: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A17D4" w:rsidRDefault="007A17D4" w:rsidP="00966D37">
            <w:r>
              <w:t>UMG-1207</w:t>
            </w: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/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256359" w:rsidRDefault="007A17D4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1615" w:type="dxa"/>
            <w:shd w:val="clear" w:color="auto" w:fill="auto"/>
          </w:tcPr>
          <w:p w:rsidR="007A17D4" w:rsidRPr="00256359" w:rsidRDefault="007A17D4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A17D4" w:rsidRPr="00256359" w:rsidRDefault="007A17D4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A17D4" w:rsidRPr="00256359" w:rsidRDefault="007A17D4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7A17D4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A17D4" w:rsidRPr="00773C32" w:rsidRDefault="007A17D4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>
            <w:pPr>
              <w:rPr>
                <w:color w:val="000000" w:themeColor="text1"/>
              </w:rPr>
            </w:pPr>
          </w:p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7A17D4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A17D4" w:rsidRPr="00773C32" w:rsidRDefault="007A17D4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A17D4" w:rsidRPr="00773C32" w:rsidRDefault="007A17D4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7A17D4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A17D4" w:rsidRPr="00773C32" w:rsidRDefault="007A17D4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773C32" w:rsidRDefault="007A17D4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7A17D4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A17D4" w:rsidRPr="00773C32" w:rsidRDefault="007A17D4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A17D4" w:rsidRPr="00773C32" w:rsidRDefault="007A17D4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773C32">
        <w:trPr>
          <w:trHeight w:val="332"/>
        </w:trPr>
        <w:tc>
          <w:tcPr>
            <w:tcW w:w="1723" w:type="dxa"/>
            <w:shd w:val="clear" w:color="auto" w:fill="auto"/>
          </w:tcPr>
          <w:p w:rsidR="007A17D4" w:rsidRPr="00773C32" w:rsidRDefault="007A17D4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auto"/>
          </w:tcPr>
          <w:p w:rsidR="007A17D4" w:rsidRPr="00773C32" w:rsidRDefault="007A17D4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Pr="00773C32">
              <w:rPr>
                <w:color w:val="FF0000"/>
              </w:rPr>
              <w:lastRenderedPageBreak/>
              <w:t>5Sep2014-2</w:t>
            </w:r>
          </w:p>
        </w:tc>
        <w:tc>
          <w:tcPr>
            <w:tcW w:w="1460" w:type="dxa"/>
            <w:shd w:val="clear" w:color="auto" w:fill="auto"/>
          </w:tcPr>
          <w:p w:rsidR="007A17D4" w:rsidRPr="00773C32" w:rsidRDefault="007A17D4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UMG-1197</w:t>
            </w:r>
          </w:p>
          <w:p w:rsidR="007A17D4" w:rsidRPr="00773C32" w:rsidRDefault="007A17D4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434D25"/>
        </w:tc>
        <w:tc>
          <w:tcPr>
            <w:tcW w:w="1615" w:type="dxa"/>
          </w:tcPr>
          <w:p w:rsidR="007A17D4" w:rsidRPr="00773C32" w:rsidRDefault="007A17D4" w:rsidP="00434D25">
            <w:pPr>
              <w:jc w:val="center"/>
            </w:pP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1615" w:type="dxa"/>
          </w:tcPr>
          <w:p w:rsidR="007A17D4" w:rsidRPr="00773C32" w:rsidRDefault="007A17D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1615" w:type="dxa"/>
          </w:tcPr>
          <w:p w:rsidR="007A17D4" w:rsidRPr="00773C32" w:rsidRDefault="007A17D4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RPr="001543FA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A17D4" w:rsidRPr="00773C32" w:rsidRDefault="007A17D4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A17D4" w:rsidRPr="00773C32" w:rsidRDefault="007A17D4" w:rsidP="001F6329">
            <w:pPr>
              <w:rPr>
                <w:color w:val="FF0000"/>
              </w:rPr>
            </w:pPr>
          </w:p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A17D4" w:rsidRPr="00773C32" w:rsidRDefault="007A17D4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7A17D4" w:rsidRPr="00773C32" w:rsidRDefault="007A17D4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7A17D4" w:rsidRPr="00773C32" w:rsidRDefault="007A17D4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7A17D4" w:rsidRPr="00773C32" w:rsidRDefault="007A17D4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7A17D4" w:rsidRPr="00773C32" w:rsidRDefault="007A17D4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7A17D4" w:rsidRPr="00773C32" w:rsidRDefault="007A17D4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A17D4" w:rsidRPr="00773C32" w:rsidRDefault="007A17D4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A17D4" w:rsidRPr="00773C32" w:rsidRDefault="007A17D4" w:rsidP="001F6329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A17D4" w:rsidRPr="00773C32" w:rsidRDefault="007A17D4" w:rsidP="008501E1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7A17D4" w:rsidRPr="00773C32" w:rsidRDefault="007A17D4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A17D4" w:rsidRPr="00773C32" w:rsidRDefault="00A56CFF" w:rsidP="008501E1">
            <w:pPr>
              <w:rPr>
                <w:color w:val="FF0000"/>
              </w:rPr>
            </w:pPr>
            <w:hyperlink r:id="rId13" w:history="1">
              <w:r w:rsidR="007A17D4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A17D4" w:rsidRPr="00773C32" w:rsidRDefault="007A17D4" w:rsidP="008501E1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2F2E1B" w:rsidRDefault="007A17D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7A17D4" w:rsidRPr="002F2E1B" w:rsidRDefault="007A17D4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A17D4" w:rsidRPr="002F2E1B" w:rsidRDefault="007A17D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A17D4" w:rsidRDefault="007A17D4" w:rsidP="008501E1"/>
        </w:tc>
      </w:tr>
      <w:tr w:rsidR="007A17D4" w:rsidTr="006D291D">
        <w:trPr>
          <w:trHeight w:val="368"/>
        </w:trPr>
        <w:tc>
          <w:tcPr>
            <w:tcW w:w="1723" w:type="dxa"/>
          </w:tcPr>
          <w:p w:rsidR="007A17D4" w:rsidRPr="002F2E1B" w:rsidRDefault="007A17D4" w:rsidP="008501E1">
            <w:pPr>
              <w:rPr>
                <w:color w:val="FF0000"/>
              </w:rPr>
            </w:pPr>
          </w:p>
        </w:tc>
        <w:tc>
          <w:tcPr>
            <w:tcW w:w="1615" w:type="dxa"/>
          </w:tcPr>
          <w:p w:rsidR="007A17D4" w:rsidRPr="002F2E1B" w:rsidRDefault="007A17D4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A17D4" w:rsidRPr="002F2E1B" w:rsidRDefault="007A17D4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A17D4" w:rsidRDefault="007A17D4" w:rsidP="008501E1"/>
        </w:tc>
      </w:tr>
    </w:tbl>
    <w:p w:rsidR="00F2349D" w:rsidRDefault="00AB7116" w:rsidP="00F2349D">
      <w:r>
        <w:lastRenderedPageBreak/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F65280">
              <w:rPr>
                <w:rFonts w:ascii="Times New Roman" w:hAnsi="Times New Roman"/>
              </w:rPr>
              <w:t>UMG-9Sep2014-3</w:t>
            </w:r>
            <w:bookmarkStart w:id="9" w:name="_GoBack"/>
            <w:bookmarkEnd w:id="9"/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FF" w:rsidRDefault="00A56CFF">
      <w:r>
        <w:separator/>
      </w:r>
    </w:p>
  </w:endnote>
  <w:endnote w:type="continuationSeparator" w:id="0">
    <w:p w:rsidR="00A56CFF" w:rsidRDefault="00A5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F65280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r w:rsidR="004D051A">
      <w:t>Template</w:t>
    </w:r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F65280">
      <w:rPr>
        <w:noProof/>
      </w:rPr>
      <w:t>6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F65280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56CF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21EF2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r w:rsidR="004D051A">
      <w:t>Template</w:t>
    </w:r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E21EF2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E21EF2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FF" w:rsidRDefault="00A56CFF">
      <w:r>
        <w:separator/>
      </w:r>
    </w:p>
  </w:footnote>
  <w:footnote w:type="continuationSeparator" w:id="0">
    <w:p w:rsidR="00A56CFF" w:rsidRDefault="00A5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A56CFF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65280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65280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A56CFF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21EF2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21EF2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E87A-21B1-4645-92FE-31F7CAD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85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Mahanta, Tushar K</cp:lastModifiedBy>
  <cp:revision>54</cp:revision>
  <cp:lastPrinted>2012-04-18T20:08:00Z</cp:lastPrinted>
  <dcterms:created xsi:type="dcterms:W3CDTF">2014-08-11T17:13:00Z</dcterms:created>
  <dcterms:modified xsi:type="dcterms:W3CDTF">2014-09-09T07:27:00Z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