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9694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9694D" w:rsidRPr="00D007B3" w:rsidRDefault="0049694D" w:rsidP="00EE6CBE">
            <w:pPr>
              <w:rPr>
                <w:b/>
              </w:rPr>
            </w:pPr>
            <w:r>
              <w:rPr>
                <w:b/>
              </w:rPr>
              <w:t>14-Apr-2015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9694D" w:rsidRPr="00D007B3" w:rsidRDefault="0049694D" w:rsidP="00EE6CBE">
            <w:pPr>
              <w:rPr>
                <w:b/>
              </w:rPr>
            </w:pPr>
            <w:r>
              <w:rPr>
                <w:b/>
              </w:rPr>
              <w:t>UMG-3052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9694D" w:rsidRPr="00D007B3" w:rsidRDefault="0049694D" w:rsidP="00EE6CBE">
            <w:pPr>
              <w:rPr>
                <w:b/>
              </w:rPr>
            </w:pPr>
            <w:r>
              <w:rPr>
                <w:b/>
              </w:rPr>
              <w:t>First Time Login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9694D" w:rsidRDefault="0049694D" w:rsidP="00EE6CBE">
            <w:pPr>
              <w:rPr>
                <w:b/>
              </w:rPr>
            </w:pPr>
            <w:r>
              <w:rPr>
                <w:b/>
              </w:rPr>
              <w:t>CA-231</w:t>
            </w:r>
          </w:p>
          <w:p w:rsidR="0049694D" w:rsidRDefault="0049694D" w:rsidP="00EE6CBE">
            <w:pPr>
              <w:rPr>
                <w:b/>
              </w:rPr>
            </w:pPr>
            <w:r>
              <w:rPr>
                <w:b/>
              </w:rPr>
              <w:t>CA-232</w:t>
            </w:r>
          </w:p>
        </w:tc>
      </w:tr>
      <w:tr w:rsidR="00F0378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49694D" w:rsidRDefault="00F0378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F03788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  <w:bookmarkStart w:id="5" w:name="_GoBack"/>
        <w:bookmarkEnd w:id="5"/>
      </w:tr>
      <w:tr w:rsidR="00F03788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111982" w:rsidRPr="0049694D" w:rsidRDefault="00111982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03788" w:rsidRPr="0049694D" w:rsidRDefault="00F03788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111982" w:rsidRPr="0049694D" w:rsidRDefault="00111982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F03788" w:rsidRDefault="00B00E05" w:rsidP="007E6A41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F03788" w:rsidRDefault="00B00E0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2273A4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B00E0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2273A4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B00E0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2273A4" w:rsidP="00EE6CBE">
            <w:pPr>
              <w:rPr>
                <w:b/>
                <w:color w:val="FF0000"/>
              </w:rPr>
            </w:pPr>
            <w:hyperlink r:id="rId14" w:history="1">
              <w:r w:rsidR="00B00E05"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 xml:space="preserve">Introduction of correlation id in </w:t>
            </w:r>
            <w:r w:rsidRPr="0019532A">
              <w:rPr>
                <w:color w:val="FF0000"/>
              </w:rPr>
              <w:lastRenderedPageBreak/>
              <w:t>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Default="004C6361" w:rsidP="00EE6CBE">
            <w: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Default="004C6361" w:rsidP="004C6361">
            <w:pPr>
              <w:jc w:val="center"/>
            </w:pPr>
            <w: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Default="00554A42" w:rsidP="00EE6CBE">
            <w: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FF6829" w:rsidP="002D6FCD">
            <w: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lastRenderedPageBreak/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size of the Double Data type stored in DB </w:t>
            </w:r>
            <w:r w:rsidRPr="00AC2C60">
              <w:rPr>
                <w:color w:val="FF0000"/>
              </w:rPr>
              <w:lastRenderedPageBreak/>
              <w:t>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2273A4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2273A4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2273A4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2273A4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 xml:space="preserve">-match in the batch dashboard with the uploaded count request in </w:t>
            </w:r>
            <w:r w:rsidRPr="000A4C57">
              <w:rPr>
                <w:color w:val="FF0000"/>
              </w:rPr>
              <w:lastRenderedPageBreak/>
              <w:t>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2273A4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2273A4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3A4" w:rsidRDefault="002273A4">
      <w:r>
        <w:separator/>
      </w:r>
    </w:p>
  </w:endnote>
  <w:endnote w:type="continuationSeparator" w:id="0">
    <w:p w:rsidR="002273A4" w:rsidRDefault="0022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49694D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49694D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49694D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D2030" w:rsidP="00EE6CBE">
    <w:pPr>
      <w:pStyle w:val="Footer"/>
    </w:pPr>
    <w:fldSimple w:instr=" STYLEREF  &quot;ASPS DocClass&quot;  \* MERGEFORMAT ">
      <w:r w:rsidR="0049694D" w:rsidRPr="0049694D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49694D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49694D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3A4" w:rsidRDefault="002273A4">
      <w:r>
        <w:separator/>
      </w:r>
    </w:p>
  </w:footnote>
  <w:footnote w:type="continuationSeparator" w:id="0">
    <w:p w:rsidR="002273A4" w:rsidRDefault="00227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DD203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9694D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49694D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DD203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9694D" w:rsidRPr="0049694D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49694D" w:rsidRPr="0049694D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2A342-70E4-4C78-88E2-9141A186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</cp:revision>
  <dcterms:created xsi:type="dcterms:W3CDTF">2015-03-31T12:43:00Z</dcterms:created>
  <dcterms:modified xsi:type="dcterms:W3CDTF">2015-04-14T11:58:00Z</dcterms:modified>
</cp:coreProperties>
</file>