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F211A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30</w:t>
            </w:r>
            <w:r w:rsidR="006F174B">
              <w:rPr>
                <w:rFonts w:ascii="Times New Roman" w:hAnsi="Times New Roman"/>
              </w:rPr>
              <w:t>-Nov-2015-</w:t>
            </w:r>
            <w:r w:rsidR="00B542C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7B47C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211AA" w:rsidRDefault="00F211AA" w:rsidP="00A663FF">
            <w:pPr>
              <w:jc w:val="center"/>
            </w:pPr>
            <w:r w:rsidRPr="00F211AA"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211AA" w:rsidRDefault="00F211AA" w:rsidP="00F211AA">
            <w:r w:rsidRPr="00F211AA">
              <w:t>UMG-</w:t>
            </w:r>
            <w:r>
              <w:t>4481</w:t>
            </w:r>
          </w:p>
          <w:p w:rsidR="00F211AA" w:rsidRPr="00F211AA" w:rsidRDefault="00F211AA" w:rsidP="00A663FF"/>
        </w:tc>
        <w:tc>
          <w:tcPr>
            <w:tcW w:w="288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 wrong gap period in "Active From GAP with Active Until" 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  <w:r w:rsidRPr="007B47C5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UMG-4478</w:t>
            </w:r>
          </w:p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>
            <w:r>
              <w:t xml:space="preserve">UI layout changes 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Default="00F211AA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Default="00F211AA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06294C">
            <w:r>
              <w:t>UMG-4459</w:t>
            </w:r>
          </w:p>
          <w:p w:rsidR="00F211AA" w:rsidRDefault="00F211AA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0800EF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90" w:rsidRDefault="00575B90">
      <w:r>
        <w:separator/>
      </w:r>
    </w:p>
  </w:endnote>
  <w:endnote w:type="continuationSeparator" w:id="0">
    <w:p w:rsidR="00575B90" w:rsidRDefault="0057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211AA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211AA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211AA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75B9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211AA" w:rsidRPr="00F211A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211A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334D7">
      <w:fldChar w:fldCharType="begin"/>
    </w:r>
    <w:r w:rsidR="00B334D7">
      <w:instrText xml:space="preserve"> NUMPAGES </w:instrText>
    </w:r>
    <w:r w:rsidR="00B334D7">
      <w:fldChar w:fldCharType="separate"/>
    </w:r>
    <w:r w:rsidR="00F211AA">
      <w:rPr>
        <w:noProof/>
      </w:rPr>
      <w:t>8</w:t>
    </w:r>
    <w:r w:rsidR="00B334D7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90" w:rsidRDefault="00575B90">
      <w:r>
        <w:separator/>
      </w:r>
    </w:p>
  </w:footnote>
  <w:footnote w:type="continuationSeparator" w:id="0">
    <w:p w:rsidR="00575B90" w:rsidRDefault="0057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75B9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211AA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211AA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75B9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211AA" w:rsidRPr="00F211A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211AA" w:rsidRPr="00F211AA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6832-0CEA-4BC8-A762-E1345767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Mandal, Sujay K</cp:lastModifiedBy>
  <cp:revision>13</cp:revision>
  <dcterms:created xsi:type="dcterms:W3CDTF">2015-11-20T09:23:00Z</dcterms:created>
  <dcterms:modified xsi:type="dcterms:W3CDTF">2015-11-30T08:11:00Z</dcterms:modified>
</cp:coreProperties>
</file>