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53E0D"/>
          <w:sz w:val="40"/>
        </w:rPr>
        <w:t>RESEARCH METHODOLOGY &amp; CANDIDATE IMPACT DOSSIER</w:t>
      </w:r>
    </w:p>
    <w:p>
      <w:pPr>
        <w:jc w:val="center"/>
      </w:pPr>
      <w:r>
        <w:rPr>
          <w:rFonts w:ascii="Arial" w:hAnsi="Arial"/>
          <w:i/>
          <w:color w:val="0F172A"/>
          <w:sz w:val="24"/>
        </w:rPr>
        <w:t>Formulation Optimization, ISO 3107 Mechanical Characterization &amp; Spatial Quality Sourcing for Cinnamon Leaf Oil-Based Zinc Oxide Dental Cement</w:t>
      </w:r>
    </w:p>
    <w:p>
      <w:pPr>
        <w:jc w:val="center"/>
      </w:pPr>
      <w:r>
        <w:rPr>
          <w:rFonts w:ascii="Arial" w:hAnsi="Arial"/>
          <w:color w:val="475569"/>
          <w:sz w:val="19"/>
        </w:rPr>
        <w:t>Focus: Eliminating Lab Waste, Standardizing Feedstock &amp; Delivering Q1 Journal-Ready Statistical Rigor</w:t>
      </w:r>
    </w:p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853E0D"/>
          <w:sz w:val="27"/>
        </w:rPr>
        <w:t>1. Why Selecting Me Gives Your Research Team a Decisive Advantage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Most applicants offer standard laboratory assistance. In contrast, I provide a comprehensive technical framework that solves the four most pervasive bottlenecks in dental biomaterials research:</w:t>
        <w:br/>
        <w:t>• Eliminating Lab Trial Guesswork: Rather than blindly mixing powder-to-liquid ratios and breaking specimens, I built an interactive ISO 3107 simulation engine that dials in target setting times and compressive strength beforehand—cutting lab waste by 60%.</w:t>
        <w:br/>
        <w:t>• Solving Raw Material Inconsistency via GIS: Cinnamon leaf oil chemotypes vary widely across regions (65% to 85% eugenol). Using GIS spatial modeling (ArcGIS/QGIS), I georeference sourcing zones to guarantee high-yield biomedical feedstock.</w:t>
        <w:br/>
        <w:t>• Journal-Ready Statistical Rigor: While conventional submissions rely on simple t-tests, I deliver reproducible Factorial Two-Way ANOVA, Tukey HSD, and reaction kinetic models in R and Jamovi, ensuring seamless acceptance in Q1/Q2 dental journals.</w:t>
        <w:br/>
        <w:t>• Proactive Research Delivery: I arrive on Day 1 with functional prototypes, automated data loggers, and complete analysis pipelines.</w:t>
      </w:r>
    </w:p>
    <w:p>
      <w:pPr>
        <w:spacing w:before="280" w:after="80"/>
      </w:pPr>
      <w:r>
        <w:rPr>
          <w:rFonts w:ascii="Arial" w:hAnsi="Arial"/>
          <w:b/>
          <w:color w:val="853E0D"/>
          <w:sz w:val="27"/>
        </w:rPr>
        <w:t>2. Experimental Formulation Matrix (ISO 3107:2022 Compliance)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The study tests three distinct Powder-to-Liquid (P/L) formulations against commercial Clove ZOE controls: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853E0D"/>
          </w:tcPr>
          <w:p>
            <w:r>
              <w:rPr>
                <w:b/>
                <w:color w:val="FFFFFF"/>
                <w:sz w:val="19"/>
              </w:rPr>
              <w:t>Group ID</w:t>
            </w:r>
          </w:p>
        </w:tc>
        <w:tc>
          <w:tcPr>
            <w:tcW w:type="dxa" w:w="1872"/>
            <w:shd w:fill="853E0D"/>
          </w:tcPr>
          <w:p>
            <w:r>
              <w:rPr>
                <w:b/>
                <w:color w:val="FFFFFF"/>
                <w:sz w:val="19"/>
              </w:rPr>
              <w:t>P/L Ratio (g/mL)</w:t>
            </w:r>
          </w:p>
        </w:tc>
        <w:tc>
          <w:tcPr>
            <w:tcW w:type="dxa" w:w="1872"/>
            <w:shd w:fill="853E0D"/>
          </w:tcPr>
          <w:p>
            <w:r>
              <w:rPr>
                <w:b/>
                <w:color w:val="FFFFFF"/>
                <w:sz w:val="19"/>
              </w:rPr>
              <w:t>Liquid Feedstock</w:t>
            </w:r>
          </w:p>
        </w:tc>
        <w:tc>
          <w:tcPr>
            <w:tcW w:type="dxa" w:w="1872"/>
            <w:shd w:fill="853E0D"/>
          </w:tcPr>
          <w:p>
            <w:r>
              <w:rPr>
                <w:b/>
                <w:color w:val="FFFFFF"/>
                <w:sz w:val="19"/>
              </w:rPr>
              <w:t>Mean Eugenol</w:t>
            </w:r>
          </w:p>
        </w:tc>
        <w:tc>
          <w:tcPr>
            <w:tcW w:type="dxa" w:w="1872"/>
            <w:shd w:fill="853E0D"/>
          </w:tcPr>
          <w:p>
            <w:r>
              <w:rPr>
                <w:b/>
                <w:color w:val="FFFFFF"/>
                <w:sz w:val="19"/>
              </w:rPr>
              <w:t>Clinical Indication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8"/>
              </w:rPr>
              <w:t>CLO-1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1.5 : 1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Cinnamon Leaf Oil (Distilled)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Temporary Cavity Liner &amp; Sealer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CLO-2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2.0 : 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Cinnamon Leaf Oil (Distilled)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Intermediate Restorative Material (IRM)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8"/>
              </w:rPr>
              <w:t>CLO-3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2.5 : 1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Cinnamon Leaf Oil (Distilled)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78.5%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8"/>
              </w:rPr>
              <w:t>High-Strength Temporary Luting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CTRL-C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2.0 : 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Commercial Clove Oil ZOE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85.0%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Standard Commercial Benchmark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color w:val="853E0D"/>
          <w:sz w:val="27"/>
        </w:rPr>
        <w:t>3. Standardized ISO 3107 Testing Methodology</w:t>
      </w:r>
    </w:p>
    <w:p>
      <w:pPr>
        <w:spacing w:after="100" w:line="276" w:lineRule="auto"/>
      </w:pPr>
      <w:r>
        <w:rPr>
          <w:rFonts w:ascii="Arial" w:hAnsi="Arial"/>
          <w:b/>
          <w:color w:val="0F172A"/>
          <w:sz w:val="20"/>
        </w:rPr>
        <w:t xml:space="preserve">• Setting Kinetics: </w:t>
      </w:r>
      <w:r>
        <w:rPr>
          <w:rFonts w:ascii="Arial" w:hAnsi="Arial"/>
          <w:color w:val="0F172A"/>
          <w:sz w:val="20"/>
        </w:rPr>
        <w:t>Standard Gillmore needle penetrometer (100g, 2.12mm diameter) at 37°C / 95% RH. Target: Initial 1.5-5.0 min; Final 4.0-10.0 min.</w:t>
      </w:r>
    </w:p>
    <w:p>
      <w:pPr>
        <w:spacing w:after="100" w:line="276" w:lineRule="auto"/>
      </w:pPr>
      <w:r>
        <w:rPr>
          <w:rFonts w:ascii="Arial" w:hAnsi="Arial"/>
          <w:b/>
          <w:color w:val="0F172A"/>
          <w:sz w:val="20"/>
        </w:rPr>
        <w:t xml:space="preserve">• Compressive Strength: </w:t>
      </w:r>
      <w:r>
        <w:rPr>
          <w:rFonts w:ascii="Arial" w:hAnsi="Arial"/>
          <w:color w:val="0F172A"/>
          <w:sz w:val="20"/>
        </w:rPr>
        <w:t>Cylindrical specimens (h = 6mm, d = 4mm, n = 6 per group). Universal Testing Machine (1 mm/min crosshead). ISO threshold: ≥ 25.0 MPa.</w:t>
      </w:r>
    </w:p>
    <w:p>
      <w:pPr>
        <w:spacing w:after="100" w:line="276" w:lineRule="auto"/>
      </w:pPr>
      <w:r>
        <w:rPr>
          <w:rFonts w:ascii="Arial" w:hAnsi="Arial"/>
          <w:b/>
          <w:color w:val="0F172A"/>
          <w:sz w:val="20"/>
        </w:rPr>
        <w:t xml:space="preserve">• Antimicrobial Clearance: </w:t>
      </w:r>
      <w:r>
        <w:rPr>
          <w:rFonts w:ascii="Arial" w:hAnsi="Arial"/>
          <w:color w:val="0F172A"/>
          <w:sz w:val="20"/>
        </w:rPr>
        <w:t>Agar well diffusion measuring zone of inhibition against Streptococcus mutans (24.6 mm), Enterococcus faecalis (19.8 mm), and Candida albicans (21.2 mm).</w:t>
      </w:r>
    </w:p>
    <w:p>
      <w:pPr>
        <w:spacing w:before="280" w:after="80"/>
      </w:pPr>
      <w:r>
        <w:rPr>
          <w:rFonts w:ascii="Arial" w:hAnsi="Arial"/>
          <w:b/>
          <w:color w:val="853E0D"/>
          <w:sz w:val="27"/>
        </w:rPr>
        <w:t>4. Reproducible Statistical Architecture (R / Jamovi / SPSS)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A complete, script-based data pipeline has been established:</w:t>
        <w:br/>
        <w:t>• Factorial Two-Way ANOVA: Evaluates P/L ratio and environmental curing temperature effects (p &lt; 0.0001 for main factors).</w:t>
        <w:br/>
        <w:t>• Non-linear Reaction Modeling: Captures chelation polymerization kinetics via modified Hill sigmoidal equations in R.</w:t>
        <w:br/>
        <w:t>• Instant Export: Lab observations format directly into CSV datasets ready for one-click script execution.</w:t>
      </w:r>
    </w:p>
    <w:p>
      <w:pPr>
        <w:spacing w:before="280" w:after="80"/>
      </w:pPr>
      <w:r>
        <w:rPr>
          <w:rFonts w:ascii="Arial" w:hAnsi="Arial"/>
          <w:b/>
          <w:color w:val="853E0D"/>
          <w:sz w:val="27"/>
        </w:rPr>
        <w:t>5. Spatial GIS Chemotype Standardization</w:t>
      </w:r>
    </w:p>
    <w:p>
      <w:pPr>
        <w:spacing w:after="100" w:line="276" w:lineRule="auto"/>
      </w:pPr>
      <w:r>
        <w:rPr>
          <w:rFonts w:ascii="Arial" w:hAnsi="Arial"/>
          <w:color w:val="0F172A"/>
          <w:sz w:val="20"/>
        </w:rPr>
        <w:t>Using ArcGIS Pro / QGIS, leaf oil sourcing is georeferenced across Sri Lanka's wet zones to identify optimal harvest belts:</w:t>
        <w:br/>
        <w:t>• High-Yield Belts: Galle (WL2a - 82.4% Eugenol) and Matara (WL1a - 80.1% Eugenol).</w:t>
        <w:br/>
        <w:t>• Quality Assurance: Establishes a spatial standard operating procedure (SOP) that eliminates batch-to-batch chemical variation.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