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left"/>
      </w:pPr>
      <w:r>
        <w:rPr>
          <w:rFonts w:ascii="Calibri" w:cs="Calibri" w:eastAsia="Calibri" w:hAnsi="Calibri"/>
          <w:b/>
          <w:bCs/>
          <w:color w:val="B7873E"/>
          <w:sz w:val="28"/>
          <w:szCs w:val="28"/>
        </w:rPr>
        <w:t xml:space="preserve">WIESBADEN-LAGEBILD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B4C"/>
          <w:sz w:val="56"/>
          <w:szCs w:val="56"/>
        </w:rPr>
        <w:t xml:space="preserve">v2.6 Daten-Vollständigkeit &amp; Innovations-Audit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  <w:sz w:val="22"/>
          <w:szCs w:val="22"/>
        </w:rPr>
        <w:t xml:space="preserve">Sujin Park · 2026-05-04 · Master Business Strategist Protocol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B4C" w:sz="4"/>
              <w:left w:val="single" w:color="1B2B4C" w:sz="24"/>
              <w:bottom w:val="single" w:color="1B2B4C" w:sz="4"/>
              <w:right w:val="single" w:color="1B2B4C" w:sz="4"/>
            </w:tcBorders>
            <w:shd w:fill="F4F6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B4C"/>
                <w:sz w:val="20"/>
                <w:szCs w:val="20"/>
              </w:rPr>
              <w:t xml:space="preserve">ZWECK DIESES DOKUMENTS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Vollständige Bestandsaufnahme von Mock-Daten, Live-Quellen und ungenutzten Datensätzen, kombiniert mit einer strategischen Synthese (Cognitive Models 4 + 8) und 10 hyper-spezifischen, sofort umsetzbaren Innovations-Maßnahmen. Ausgangslage: 232 öffentliche Datensätze des Piveau-Katalogs der Stadt Wiesbaden, davon aktuell 6 verwendet. Ziel: vom Mockup zur belastbaren Bürger-Infrastruktur, ohne den Charakter des Originals zu verlieren.</w:t>
            </w:r>
          </w:p>
        </w:tc>
      </w:tr>
    </w:tbl>
    <w:p>
      <w:r>
        <w:br w:type="page"/>
      </w:r>
    </w:p>
    <w:p>
      <w:pPr>
        <w:pStyle w:val="Heading1"/>
        <w:spacing w:after="120" w:before="480"/>
      </w:pPr>
      <w:r>
        <w:rPr>
          <w:rFonts w:ascii="Calibri" w:cs="Calibri" w:eastAsia="Calibri" w:hAnsi="Calibri"/>
          <w:b/>
          <w:bCs/>
          <w:color w:val="1B2B4C"/>
          <w:sz w:val="40"/>
          <w:szCs w:val="40"/>
        </w:rPr>
        <w:t xml:space="preserve">1. Executive Summary — Befund in 90 Sekunden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</w:rPr>
        <w:t xml:space="preserve">Die v2.5-Anwendung ist auf einem überraschend hohen Reifegrad: 11 von 16 Datensätzen sind echt (live oder static_real), die Mocks sind transparent als solche markiert (Mock-Badge, Datenkatalog-Tab), und die Architektur erlaubt einen 1-Code-Zeile-Wechsel auf Live-APIs. Die offene Flanke ist nicht die Datenqualität — sondern die </w:t>
      </w:r>
      <w:r>
        <w:rPr>
          <w:rFonts w:ascii="Calibri" w:cs="Calibri" w:eastAsia="Calibri" w:hAnsi="Calibri"/>
          <w:b/>
          <w:bCs/>
        </w:rPr>
        <w:t xml:space="preserve">Daten-Tiefe</w:t>
      </w:r>
      <w:r>
        <w:rPr>
          <w:rFonts w:ascii="Calibri" w:cs="Calibri" w:eastAsia="Calibri" w:hAnsi="Calibri"/>
          <w:color w:val="5C6470"/>
        </w:rPr>
        <w:t xml:space="preserve">. 232 Datensätze sind bei der Stadt vorhanden, davon 71 inhaltlich relevant aber bisher nicht in das Bürger-Narrativ integriert: P+R Hessen (dynamisch, 2026-04-30), Bautätigkeit pro Ortsbezirk 2012–2024, Sozialwohnungen, Schul- &amp; Schülerdaten, Ergebnishaushalt 2023–2025, Ausländerbeiratswahl 2026.</w:t>
      </w:r>
    </w:p>
    <w:p>
      <w:pPr>
        <w:spacing w:after="100" w:before="100"/>
      </w:pPr>
      <w:r>
        <w:t xml:space="preserve"/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b/>
          <w:bCs/>
          <w:color w:val="1B2B4C"/>
          <w:sz w:val="24"/>
          <w:szCs w:val="24"/>
        </w:rPr>
        <w:t xml:space="preserve">Drei Maßnahmen mit höchstem Hebel: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UBA-Luftqualität-API (v4) live anbinden</w:t>
      </w:r>
      <w:r>
        <w:rPr>
          <w:rFonts w:ascii="Calibri" w:cs="Calibri" w:eastAsia="Calibri" w:hAnsi="Calibri"/>
          <w:sz w:val="22"/>
          <w:szCs w:val="22"/>
        </w:rPr>
        <w:t xml:space="preserve"> — ersetzt die letzte verbliebene Wiesbaden-spezifische Mock-Kachel (AQI 42), kostenfrei, CC BY 4.0, Wiesbaden-Schiersteiner ist eine offizielle Messstation. Aufwand: 0,5 Tage.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Tankerkönig-Schlüssel beantragen (24 h Bearbeitung)</w:t>
      </w:r>
      <w:r>
        <w:rPr>
          <w:rFonts w:ascii="Calibri" w:cs="Calibri" w:eastAsia="Calibri" w:hAnsi="Calibri"/>
          <w:sz w:val="22"/>
          <w:szCs w:val="22"/>
        </w:rPr>
        <w:t xml:space="preserve"> — entfernt das größte „MOCK "-Badge des Dashboards. Code ist bereits vorbereitet (siehe data.js Z. 1586). Aufwand: 1 Tag inkl. Rate-Limit-Cache.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„Daten-Stories" auf 10 erweitern</w:t>
      </w:r>
      <w:r>
        <w:rPr>
          <w:rFonts w:ascii="Calibri" w:cs="Calibri" w:eastAsia="Calibri" w:hAnsi="Calibri"/>
          <w:sz w:val="22"/>
          <w:szCs w:val="22"/>
        </w:rPr>
        <w:t xml:space="preserve"> — von 4 auf 10 hochziehen, mit den ungenutzten Datensätzen (Bautätigkeit pro Ortsbezirk, Schulen, Ergebnishaushalt, Ausländerbeirat). Das ist der editoriale Kern, der das Lagebild von „nochein Choropleth" zu einem Stadtjahrbuch macht. Aufwand: 2 Tage.</w:t>
      </w:r>
    </w:p>
    <w:p>
      <w:pPr>
        <w:pStyle w:val="Heading1"/>
        <w:spacing w:after="120" w:before="480"/>
      </w:pPr>
      <w:r>
        <w:rPr>
          <w:rFonts w:ascii="Calibri" w:cs="Calibri" w:eastAsia="Calibri" w:hAnsi="Calibri"/>
          <w:b/>
          <w:bCs/>
          <w:color w:val="1B2B4C"/>
          <w:sz w:val="40"/>
          <w:szCs w:val="40"/>
        </w:rPr>
        <w:t xml:space="preserve">2. Synergistic Analysis — Cognitive Models 4 (Redefinition) ⊗ 8 (Complexity)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A5" w:sz="4"/>
              <w:left w:val="single" w:color="4A6FA5" w:sz="24"/>
              <w:bottom w:val="single" w:color="4A6FA5" w:sz="4"/>
              <w:right w:val="single" w:color="4A6FA5" w:sz="4"/>
            </w:tcBorders>
            <w:shd w:fill="F4F6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A6FA5"/>
                <w:sz w:val="20"/>
                <w:szCs w:val="20"/>
              </w:rPr>
              <w:t xml:space="preserve">MODELL-WAHL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Modell 4 — Redefinition (Original × 180°-Rotation × Scope-Ratio × Meta-Level-Shift) — bewertet, ob das Lagebild seinen Rahmen richtig setzt. Modell 8 — Complexity (Det(Matrix) × Σ(Sub-Solution/Sub-Complexity) × ∏(Interaction)) — entkoppelt das Dashboard in interagierende Sub-Systeme und prüft, wo Komplexität Bürgernutzen erzeugt vs. verschleiert. Beide Modelle interlocken: Redefinition bestimmt das WAS, Complexity das WIE.</w:t>
            </w:r>
          </w:p>
        </w:tc>
      </w:tr>
    </w:tbl>
    <w:p>
      <w:pPr>
        <w:spacing w:after="60" w:before="60" w:line="320"/>
        <w:jc w:val="left"/>
      </w:pPr>
      <w:r>
        <w:rPr>
          <w:rFonts w:ascii="Calibri" w:cs="Calibri" w:eastAsia="Calibri" w:hAnsi="Calibri"/>
          <w:b/>
          <w:bCs/>
        </w:rPr>
        <w:t xml:space="preserve">Schritt 1 — Redefinition der Frage. </w:t>
      </w:r>
      <w:r>
        <w:rPr>
          <w:rFonts w:ascii="Calibri" w:cs="Calibri" w:eastAsia="Calibri" w:hAnsi="Calibri"/>
          <w:color w:val="5C6470"/>
        </w:rPr>
        <w:t xml:space="preserve">Das v2.5-Dashboard beantwortet implizit die Frage „Was passiert in Wiesbaden statistisch?". Eine 180°-Rotation auf der Achse Adressat/Adressantin verschiebt sie zu „Was kann ich, Bürgerin in Bezirk X, mit dieser Information morgen anders machen?". Das ist nicht semantischer Quatsch — es ist die Differenz zwischen einem Statistik-Atlas (Destatis-Atlas, BMWK Konjunktur) und einem Handlungs-Werkzeug (Helsinki Helmi, Wien Stadtplan, NYC OpenData mit „Local Law"-Verweisen). Die Scope-Ratio des Mockups verschiebt sich damit von „26 Ortsbezirke × 12 Indikatoren" (≈312 Zellen, Atlas-Logik) zu „1 Ortsbezirk × 12 Indikatoren × 1 Handlung" (≈12 Aktivitäts-Pfade, Werkzeug-Logik). Bereits implementiert: „Mein Ortsbezirk"-Karte und „Was kann ich tun?"-Action-Box. Das ist konzeptionell richtig. Aber die Action-Box hat aktuell nur 3 Buttons (Mängel melden, Beteiligungsverfahren, CSV) — bei 26 möglichen Bezirken und 12 Indikatoren entstehen 312 unterschiedliche Bürger-Handlungslogiken, von denen das Dashboard nur 3 generische zeigt. Der Meta-Level-Shift: nicht „eine generische Aktion pro Bezirk", sondern „zustands-bedingte Aktionen pro KPI×Bezirk". Beispiel: Wenn der Nutzer Heßloch wählt, sollten andere Aktionen erscheinen (Briefwahl-Anteil hoch → „Hier Briefwahl beantragen", Kita-Versorgung 0% → „WiKITA-Vormerkung jetzt") als wenn er Westend wählt (Sozialwohnungs-Defizit −157 → „Sozialwohnungs-Antrag"). Das ist die einzige Designentscheidung, die das Lagebild von ähnlichen Smart-City-Mockups (Helsinki, Hamburg, Wien) trennt. Wiesbaden spielt im EU-Vergleich nicht in der Größenliga von Helsinki — aber in der Bezirks-Spezifität (26 Ortsbezirke mit eigenen Beiräten und Wahlkreisen) hat es einen strukturellen Vorteil, der mit zustandsbedingter Action-Routing voll ausgespielt werden kann.</w:t>
      </w:r>
    </w:p>
    <w:p>
      <w:pPr>
        <w:spacing w:after="100" w:before="100"/>
      </w:pPr>
      <w:r>
        <w:t xml:space="preserve"/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b/>
          <w:bCs/>
        </w:rPr>
        <w:t xml:space="preserve">Schritt 2 — Komplexitäts-Matrix. </w:t>
      </w:r>
      <w:r>
        <w:rPr>
          <w:rFonts w:ascii="Calibri" w:cs="Calibri" w:eastAsia="Calibri" w:hAnsi="Calibri"/>
          <w:color w:val="5C6470"/>
        </w:rPr>
        <w:t xml:space="preserve">Auf der Komplexitäts-Achse besteht das System aus vier interagierenden Sub-Layern: (a) Daten-Layer — 232 Piveau-Datensätze + OSM + 4 externe APIs; (b) Render-Layer — 6 Views × 5 Sprachen × LS = 30 Render-Permutationen; (c) Citizen-Layer — 4 Beteiligungsformate (Mängelmelder, Datenwunsch, Spritpreis-Crowd, KPI-Kuration); (d) Trust-Layer — Datenkatalog, AI-Register, Algorithmus-Karte, BITV-Erklärung. Det(Matrix) — die determinative Wirkung — ist hoch, weil Layer (d) jeden Wert in Layer (a) bis zur Quelle nachverfolgbar macht. Das ist exakt der Punkt, an dem öffentliche Verwaltungs-Dashboards üblicherweise scheitern (siehe NRW-Datenportal, viele KSt-Dashboards): Werte werden gezeigt, aber Provenance-Pfade nicht. Der Multiplikator ∏(Interaction) wird gebremst durch zwei Reibungspunkte: (1) Die KPI-Kuration interagiert nicht mit der Story-Auswahl — wer „Energie" auswählt, sieht nicht, dass es noch keine Energie-Story gibt; (2) Der Daten-Assistent (Fuse.js BM25-Suche) lebt im Drawer, ist aber nicht mit „Mein Ortsbezirk" verknüpft — wer Heßloch auswählt, müsste beim BM25-Search „Heßloch" als Vor-Filter erhalten. Beide Brüche kosten dem System mindestens den Faktor 1,5 in Engagement-Tiefe. Die σ(Sub-Solution/Sub-Complexity)-Ratio sagt: jeder zusätzliche View bringt sub-linear Mehrwert, jede zusätzliche Verknüpfung zwischen Views bringt super-linear Mehrwert. Daraus folgt: keine 7. View hinzufügen, sondern die 6 vorhandenen Views miteinander verdrahten — das ist die hoch-leverage-Bewegung der nächsten Iteration.</w:t>
      </w:r>
    </w:p>
    <w:p>
      <w:pPr>
        <w:spacing w:after="100" w:before="100"/>
      </w:pPr>
      <w:r>
        <w:t xml:space="preserve"/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b/>
          <w:bCs/>
        </w:rPr>
        <w:t xml:space="preserve">Synthese. </w:t>
      </w:r>
      <w:r>
        <w:rPr>
          <w:rFonts w:ascii="Calibri" w:cs="Calibri" w:eastAsia="Calibri" w:hAnsi="Calibri"/>
          <w:color w:val="5C6470"/>
        </w:rPr>
        <w:t xml:space="preserve">Wenn man Modell 4 und Modell 8 koppelt, entsteht ein Steuer-Imperativ: </w:t>
      </w:r>
      <w:r>
        <w:rPr>
          <w:rFonts w:ascii="Calibri" w:cs="Calibri" w:eastAsia="Calibri" w:hAnsi="Calibri"/>
          <w:b/>
          <w:bCs/>
          <w:color w:val="1B2B4C"/>
        </w:rPr>
        <w:t xml:space="preserve">„Reduziere Daten-Tiefe nicht, sondern verdrahte Daten-Wege".</w:t>
      </w:r>
      <w:r>
        <w:rPr>
          <w:rFonts w:ascii="Calibri" w:cs="Calibri" w:eastAsia="Calibri" w:hAnsi="Calibri"/>
          <w:color w:val="5C6470"/>
        </w:rPr>
        <w:t xml:space="preserve"> Die nächsten 10 Maßnahmen folgen genau dieser Linie — sie fügen kein neues View, kein neues Tab, kein neues Modal hinzu. Sie verbinden vorhandene Daten zu zustands-sensitiven Handlungspfaden, ergänzen nur dort neue Daten, wo das Bürger-Narrativ konkrete Lücken aufweist (Schulen, Haushalt, Sicherheit), und ersetzen Mocks systematisch durch Live-Quellen, ohne den Mock-Badge-Mechanismus zu verlieren — denn Mock-Transparenz ist genau das, was das Dashboard von BI-Tools mit verstecktem Stochastik-Theater unterscheidet.</w:t>
      </w:r>
    </w:p>
    <w:p>
      <w:pPr>
        <w:pStyle w:val="Heading1"/>
        <w:spacing w:after="120" w:before="480"/>
      </w:pPr>
      <w:r>
        <w:rPr>
          <w:rFonts w:ascii="Calibri" w:cs="Calibri" w:eastAsia="Calibri" w:hAnsi="Calibri"/>
          <w:b/>
          <w:bCs/>
          <w:color w:val="1B2B4C"/>
          <w:sz w:val="40"/>
          <w:szCs w:val="40"/>
        </w:rPr>
        <w:t xml:space="preserve">3. Inventur — Was ist Mock, was ist real, was fehlt?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2B4C"/>
          <w:sz w:val="30"/>
          <w:szCs w:val="30"/>
        </w:rPr>
        <w:t xml:space="preserve">3.1  Datenquellen-Status (16 registrierte Quellen)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2400"/>
        <w:gridCol w:w="1300"/>
        <w:gridCol w:w="1600"/>
        <w:gridCol w:w="1300"/>
      </w:tblGrid>
      <w:tr>
        <w:trPr>
          <w:tblHeader/>
        </w:trPr>
        <w:tc>
          <w:tcPr>
            <w:tcW w:type="dxa" w:w="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B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B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Datensatz</w:t>
            </w:r>
          </w:p>
        </w:tc>
        <w:tc>
          <w:tcPr>
            <w:tcW w:type="dxa" w:w="24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B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Verwendet in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B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Aktuell</w:t>
            </w:r>
          </w:p>
        </w:tc>
        <w:tc>
          <w:tcPr>
            <w:tcW w:type="dxa" w:w="16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B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Empfohlen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B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Hebel</w:t>
            </w:r>
          </w:p>
        </w:tc>
      </w:tr>
      <w:tr>
        <w:tc>
          <w:tcPr>
            <w:tcW w:type="dxa" w:w="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01</w:t>
            </w:r>
          </w:p>
        </w:tc>
        <w:tc>
          <w:tcPr>
            <w:tcW w:type="dxa" w:w="2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Ortsbezirke 26 + Stadtgrenze</w:t>
            </w:r>
          </w:p>
        </w:tc>
        <w:tc>
          <w:tcPr>
            <w:tcW w:type="dxa" w:w="24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Hauptkarte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(OSM)</w:t>
            </w:r>
          </w:p>
        </w:tc>
        <w:tc>
          <w:tcPr>
            <w:tcW w:type="dxa" w:w="16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halten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02</w:t>
            </w:r>
          </w:p>
        </w:tc>
        <w:tc>
          <w:tcPr>
            <w:tcW w:type="dxa" w:w="2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Bevölkerung pro Ortsbezirk</w:t>
            </w:r>
          </w:p>
        </w:tc>
        <w:tc>
          <w:tcPr>
            <w:tcW w:type="dxa" w:w="24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KPI Bevölkerung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static_real</w:t>
            </w:r>
          </w:p>
        </w:tc>
        <w:tc>
          <w:tcPr>
            <w:tcW w:type="dxa" w:w="16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Piveau-fetch on-init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↑ Frische</w:t>
            </w:r>
          </w:p>
        </w:tc>
      </w:tr>
      <w:tr>
        <w:tc>
          <w:tcPr>
            <w:tcW w:type="dxa" w:w="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03</w:t>
            </w:r>
          </w:p>
        </w:tc>
        <w:tc>
          <w:tcPr>
            <w:tcW w:type="dxa" w:w="2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Mietspiegel 2025</w:t>
            </w:r>
          </w:p>
        </w:tc>
        <w:tc>
          <w:tcPr>
            <w:tcW w:type="dxa" w:w="24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Wohnen → Matrix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dxa" w:w="16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halten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04</w:t>
            </w:r>
          </w:p>
        </w:tc>
        <w:tc>
          <w:tcPr>
            <w:tcW w:type="dxa" w:w="2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Angebotsmieten 2007–2024</w:t>
            </w:r>
          </w:p>
        </w:tc>
        <w:tc>
          <w:tcPr>
            <w:tcW w:type="dxa" w:w="24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Wohnen → Trend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dxa" w:w="16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halten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05</w:t>
            </w:r>
          </w:p>
        </w:tc>
        <w:tc>
          <w:tcPr>
            <w:tcW w:type="dxa" w:w="2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Bodenrichtwert 2000–2024</w:t>
            </w:r>
          </w:p>
        </w:tc>
        <w:tc>
          <w:tcPr>
            <w:tcW w:type="dxa" w:w="24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Wohnen → Boden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dxa" w:w="16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halten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06</w:t>
            </w:r>
          </w:p>
        </w:tc>
        <w:tc>
          <w:tcPr>
            <w:tcW w:type="dxa" w:w="2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E-Ladesäulen 84 Punkte</w:t>
            </w:r>
          </w:p>
        </w:tc>
        <w:tc>
          <w:tcPr>
            <w:tcW w:type="dxa" w:w="24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Karte → charging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dxa" w:w="16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halten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07</w:t>
            </w:r>
          </w:p>
        </w:tc>
        <w:tc>
          <w:tcPr>
            <w:tcW w:type="dxa" w:w="2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Wahlbeteiligung 2026 / 2021</w:t>
            </w:r>
          </w:p>
        </w:tc>
        <w:tc>
          <w:tcPr>
            <w:tcW w:type="dxa" w:w="24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Demokratie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dxa" w:w="16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halten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08</w:t>
            </w:r>
          </w:p>
        </w:tc>
        <w:tc>
          <w:tcPr>
            <w:tcW w:type="dxa" w:w="2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Kita-Versorgung 24/25</w:t>
            </w:r>
          </w:p>
        </w:tc>
        <w:tc>
          <w:tcPr>
            <w:tcW w:type="dxa" w:w="24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KPI Kita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static_real</w:t>
            </w:r>
          </w:p>
        </w:tc>
        <w:tc>
          <w:tcPr>
            <w:tcW w:type="dxa" w:w="16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halten (jährlich)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09</w:t>
            </w:r>
          </w:p>
        </w:tc>
        <w:tc>
          <w:tcPr>
            <w:tcW w:type="dxa" w:w="2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Tankstellen-Koordinaten</w:t>
            </w:r>
          </w:p>
        </w:tc>
        <w:tc>
          <w:tcPr>
            <w:tcW w:type="dxa" w:w="24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Alltag → Tank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(OSM)</w:t>
            </w:r>
          </w:p>
        </w:tc>
        <w:tc>
          <w:tcPr>
            <w:tcW w:type="dxa" w:w="16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halten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Tankstellen-Preise (E10/Diesel)</w:t>
            </w:r>
          </w:p>
        </w:tc>
        <w:tc>
          <w:tcPr>
            <w:tcW w:type="dxa" w:w="24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Alltag → Tank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</w:t>
            </w:r>
          </w:p>
        </w:tc>
        <w:tc>
          <w:tcPr>
            <w:tcW w:type="dxa" w:w="16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Tankerkönig-Key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AI-Register städt. Algorithmen</w:t>
            </w:r>
          </w:p>
        </w:tc>
        <w:tc>
          <w:tcPr>
            <w:tcW w:type="dxa" w:w="24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Demokratie → KI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 demo</w:t>
            </w:r>
          </w:p>
        </w:tc>
        <w:tc>
          <w:tcPr>
            <w:tcW w:type="dxa" w:w="16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real, mit Stadt anregen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★★</w:t>
            </w:r>
          </w:p>
        </w:tc>
      </w:tr>
      <w:tr>
        <w:tc>
          <w:tcPr>
            <w:tcW w:type="dxa" w:w="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Citizen Science Projekte</w:t>
            </w:r>
          </w:p>
        </w:tc>
        <w:tc>
          <w:tcPr>
            <w:tcW w:type="dxa" w:w="24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Mitmachen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 demo</w:t>
            </w:r>
          </w:p>
        </w:tc>
        <w:tc>
          <w:tcPr>
            <w:tcW w:type="dxa" w:w="16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Pilot Bürger-Sensor mit HLNUG starten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★★</w:t>
            </w:r>
          </w:p>
        </w:tc>
      </w:tr>
      <w:tr>
        <w:tc>
          <w:tcPr>
            <w:tcW w:type="dxa" w:w="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Bürger-Spritpreismeldungen</w:t>
            </w:r>
          </w:p>
        </w:tc>
        <w:tc>
          <w:tcPr>
            <w:tcW w:type="dxa" w:w="24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Alltag → Tank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citizen (lokal)</w:t>
            </w:r>
          </w:p>
        </w:tc>
        <w:tc>
          <w:tcPr>
            <w:tcW w:type="dxa" w:w="16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halten + Aggregat-Anzeige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Bürger-Hinweise</w:t>
            </w:r>
          </w:p>
        </w:tc>
        <w:tc>
          <w:tcPr>
            <w:tcW w:type="dxa" w:w="24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Mitmachen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citizen (mailto+Hessen)</w:t>
            </w:r>
          </w:p>
        </w:tc>
        <w:tc>
          <w:tcPr>
            <w:tcW w:type="dxa" w:w="16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halten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Datenwunsch-Stimmen</w:t>
            </w:r>
          </w:p>
        </w:tc>
        <w:tc>
          <w:tcPr>
            <w:tcW w:type="dxa" w:w="24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Mitmachen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citizen (lokal)</w:t>
            </w:r>
          </w:p>
        </w:tc>
        <w:tc>
          <w:tcPr>
            <w:tcW w:type="dxa" w:w="16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Server-Aggregat (DSGVO-OK)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Datenkatalog 232 Datensätze</w:t>
            </w:r>
          </w:p>
        </w:tc>
        <w:tc>
          <w:tcPr>
            <w:tcW w:type="dxa" w:w="24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Daten-Tab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(Piveau-Cache)</w:t>
            </w:r>
          </w:p>
        </w:tc>
        <w:tc>
          <w:tcPr>
            <w:tcW w:type="dxa" w:w="16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Piveau-fetch refresh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2B4C"/>
          <w:sz w:val="30"/>
          <w:szCs w:val="30"/>
        </w:rPr>
        <w:t xml:space="preserve">3.2  KPI-Kachel-Mocks (versteckte Mocks!)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</w:rPr>
        <w:t xml:space="preserve">Wichtiger als die offenen Mocks sind die </w:t>
      </w:r>
      <w:r>
        <w:rPr>
          <w:rFonts w:ascii="Calibri" w:cs="Calibri" w:eastAsia="Calibri" w:hAnsi="Calibri"/>
          <w:b/>
          <w:bCs/>
          <w:color w:val="B7873E"/>
        </w:rPr>
        <w:t xml:space="preserve">verdeckten Mocks</w:t>
      </w:r>
      <w:r>
        <w:rPr>
          <w:rFonts w:ascii="Calibri" w:cs="Calibri" w:eastAsia="Calibri" w:hAnsi="Calibri"/>
          <w:color w:val="5C6470"/>
        </w:rPr>
        <w:t xml:space="preserve"> in der KPI-Leiste — Werte, die wie Live-Indikatoren aussehen, aber statisch sind: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900"/>
        <w:gridCol w:w="5460"/>
      </w:tblGrid>
      <w:tr>
        <w:trPr>
          <w:tblHeader/>
        </w:trPr>
        <w:tc>
          <w:tcPr>
            <w:tcW w:type="dxa" w:w="8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B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KPI-ID</w:t>
            </w:r>
          </w:p>
        </w:tc>
        <w:tc>
          <w:tcPr>
            <w:tcW w:type="dxa" w:w="1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B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Anzeige</w:t>
            </w:r>
          </w:p>
        </w:tc>
        <w:tc>
          <w:tcPr>
            <w:tcW w:type="dxa" w:w="1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B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Quelle laut Code</w:t>
            </w:r>
          </w:p>
        </w:tc>
        <w:tc>
          <w:tcPr>
            <w:tcW w:type="dxa" w:w="5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B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Realität</w:t>
            </w:r>
          </w:p>
        </w:tc>
      </w:tr>
      <w:tr>
        <w:tc>
          <w:tcPr>
            <w:tcW w:type="dxa" w:w="8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air</w:t>
            </w:r>
          </w:p>
        </w:tc>
        <w:tc>
          <w:tcPr>
            <w:tcW w:type="dxa" w:w="1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AQI 42</w:t>
            </w:r>
          </w:p>
        </w:tc>
        <w:tc>
          <w:tcPr>
            <w:tcW w:type="dxa" w:w="1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HLNUG Hessen</w:t>
            </w:r>
          </w:p>
        </w:tc>
        <w:tc>
          <w:tcPr>
            <w:tcW w:type="dxa" w:w="5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Statischer Wert in LIVE_KPI; KPI-Detail-Modal zeigt Story aus 2026-w17 — fest verdrahtet.</w:t>
            </w:r>
          </w:p>
        </w:tc>
      </w:tr>
      <w:tr>
        <w:tc>
          <w:tcPr>
            <w:tcW w:type="dxa" w:w="8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transit</w:t>
            </w:r>
          </w:p>
        </w:tc>
        <w:tc>
          <w:tcPr>
            <w:tcW w:type="dxa" w:w="1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87,3 %</w:t>
            </w:r>
          </w:p>
        </w:tc>
        <w:tc>
          <w:tcPr>
            <w:tcW w:type="dxa" w:w="1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ESWE Verkehr</w:t>
            </w:r>
          </w:p>
        </w:tc>
        <w:tc>
          <w:tcPr>
            <w:tcW w:type="dxa" w:w="5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Statisch — keine GTFS-RT-Anbindung. ESWE liefert keinen offenen Echtzeit-Feed.</w:t>
            </w:r>
          </w:p>
        </w:tc>
      </w:tr>
      <w:tr>
        <w:tc>
          <w:tcPr>
            <w:tcW w:type="dxa" w:w="8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construction</w:t>
            </w:r>
          </w:p>
        </w:tc>
        <w:tc>
          <w:tcPr>
            <w:tcW w:type="dxa" w:w="1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aktiv</w:t>
            </w:r>
          </w:p>
        </w:tc>
        <w:tc>
          <w:tcPr>
            <w:tcW w:type="dxa" w:w="1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Tiefbauamt</w:t>
            </w:r>
          </w:p>
        </w:tc>
        <w:tc>
          <w:tcPr>
            <w:tcW w:type="dxa" w:w="5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Statisch — kein offener Baustellen-Feed. Hessen Mobil hat „Verkehrsmeldungen Region Frankfurt RheinMain" (verfügbar im Piveau-Katalog, Format CSV) — daraus zählbar.</w:t>
            </w:r>
          </w:p>
        </w:tc>
      </w:tr>
      <w:tr>
        <w:tc>
          <w:tcPr>
            <w:tcW w:type="dxa" w:w="8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energy</w:t>
            </w:r>
          </w:p>
        </w:tc>
        <w:tc>
          <w:tcPr>
            <w:tcW w:type="dxa" w:w="1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34,8 %</w:t>
            </w:r>
          </w:p>
        </w:tc>
        <w:tc>
          <w:tcPr>
            <w:tcW w:type="dxa" w:w="1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Marktstammdaten­register</w:t>
            </w:r>
          </w:p>
        </w:tc>
        <w:tc>
          <w:tcPr>
            <w:tcW w:type="dxa" w:w="5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Statisch — MaStR ist abrufbar (XML/CSV/REST), aber Berechnung der Wiesbaden-Quote erfordert Aggregation.</w:t>
            </w:r>
          </w:p>
        </w:tc>
      </w:tr>
      <w:tr>
        <w:tc>
          <w:tcPr>
            <w:tcW w:type="dxa" w:w="8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fuel</w:t>
            </w:r>
          </w:p>
        </w:tc>
        <w:tc>
          <w:tcPr>
            <w:tcW w:type="dxa" w:w="1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1,729 €</w:t>
            </w:r>
          </w:p>
        </w:tc>
        <w:tc>
          <w:tcPr>
            <w:tcW w:type="dxa" w:w="1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MTS-K Tankerkönig</w:t>
            </w:r>
          </w:p>
        </w:tc>
        <w:tc>
          <w:tcPr>
            <w:tcW w:type="dxa" w:w="5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Statisch — derselbe Mock wie #10.</w:t>
            </w:r>
          </w:p>
        </w:tc>
      </w:tr>
      <w:tr>
        <w:tc>
          <w:tcPr>
            <w:tcW w:type="dxa" w:w="8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rent</w:t>
            </w:r>
          </w:p>
        </w:tc>
        <w:tc>
          <w:tcPr>
            <w:tcW w:type="dxa" w:w="1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11,40 €/m²</w:t>
            </w:r>
          </w:p>
        </w:tc>
        <w:tc>
          <w:tcPr>
            <w:tcW w:type="dxa" w:w="1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Mietspiegel 2024</w:t>
            </w:r>
          </w:p>
        </w:tc>
        <w:tc>
          <w:tcPr>
            <w:tcW w:type="dxa" w:w="5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Echte Zahl, aber „2024" — das Dashboard hat 2025-Daten.</w:t>
            </w:r>
          </w:p>
        </w:tc>
      </w:tr>
      <w:tr>
        <w:tc>
          <w:tcPr>
            <w:tcW w:type="dxa" w:w="8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kita</w:t>
            </w:r>
          </w:p>
        </w:tc>
        <w:tc>
          <w:tcPr>
            <w:tcW w:type="dxa" w:w="1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36,7 %</w:t>
            </w:r>
          </w:p>
        </w:tc>
        <w:tc>
          <w:tcPr>
            <w:tcW w:type="dxa" w:w="1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Tagesbetreuungs­bericht</w:t>
            </w:r>
          </w:p>
        </w:tc>
        <w:tc>
          <w:tcPr>
            <w:tcW w:type="dxa" w:w="5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Echt — von KITA_VERSORGUNG.summary.</w:t>
            </w:r>
          </w:p>
        </w:tc>
      </w:tr>
      <w:tr>
        <w:tc>
          <w:tcPr>
            <w:tcW w:type="dxa" w:w="8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complaints</w:t>
            </w:r>
          </w:p>
        </w:tc>
        <w:tc>
          <w:tcPr>
            <w:tcW w:type="dxa" w:w="1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8,4 Tage</w:t>
            </w:r>
          </w:p>
        </w:tc>
        <w:tc>
          <w:tcPr>
            <w:tcW w:type="dxa" w:w="1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Sicherheitsportal</w:t>
            </w:r>
          </w:p>
        </w:tc>
        <w:tc>
          <w:tcPr>
            <w:tcW w:type="dxa" w:w="5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Statisch — Sicherheitsportal Hessen hat keinen offenen Daten-Endpunkt.</w:t>
            </w:r>
          </w:p>
        </w:tc>
      </w:tr>
      <w:tr>
        <w:tc>
          <w:tcPr>
            <w:tcW w:type="dxa" w:w="8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47</w:t>
            </w:r>
          </w:p>
        </w:tc>
        <w:tc>
          <w:tcPr>
            <w:tcW w:type="dxa" w:w="1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Gewerbeamt</w:t>
            </w:r>
          </w:p>
        </w:tc>
        <w:tc>
          <w:tcPr>
            <w:tcW w:type="dxa" w:w="5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Statisch — Gewerbeamt liefert nicht offen.</w:t>
            </w:r>
          </w:p>
        </w:tc>
      </w:tr>
      <w:tr>
        <w:tc>
          <w:tcPr>
            <w:tcW w:type="dxa" w:w="8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unemployment</w:t>
            </w:r>
          </w:p>
        </w:tc>
        <w:tc>
          <w:tcPr>
            <w:tcW w:type="dxa" w:w="1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5,8 %</w:t>
            </w:r>
          </w:p>
        </w:tc>
        <w:tc>
          <w:tcPr>
            <w:tcW w:type="dxa" w:w="1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 Arbeit</w:t>
            </w:r>
          </w:p>
        </w:tc>
        <w:tc>
          <w:tcPr>
            <w:tcW w:type="dxa" w:w="5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Statisch — Bundesagentur Statistik-API liefert PLZ-Werte (PUMA). Wiesbaden-Wert = 8,0 % (Dez 2025) laut Story 4.</w:t>
            </w:r>
          </w:p>
        </w:tc>
      </w:tr>
      <w:tr>
        <w:tc>
          <w:tcPr>
            <w:tcW w:type="dxa" w:w="8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groceries</w:t>
            </w:r>
          </w:p>
        </w:tc>
        <w:tc>
          <w:tcPr>
            <w:tcW w:type="dxa" w:w="1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104,2</w:t>
            </w:r>
          </w:p>
        </w:tc>
        <w:tc>
          <w:tcPr>
            <w:tcW w:type="dxa" w:w="1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Bürger·VPI</w:t>
            </w:r>
          </w:p>
        </w:tc>
        <w:tc>
          <w:tcPr>
            <w:tcW w:type="dxa" w:w="5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Echt aus GROCERY_PRICES + VPI-Hessen-Anker.</w:t>
            </w:r>
          </w:p>
        </w:tc>
      </w:tr>
      <w:tr>
        <w:tc>
          <w:tcPr>
            <w:tcW w:type="dxa" w:w="8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population</w:t>
            </w:r>
          </w:p>
        </w:tc>
        <w:tc>
          <w:tcPr>
            <w:tcW w:type="dxa" w:w="1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300.089</w:t>
            </w:r>
          </w:p>
        </w:tc>
        <w:tc>
          <w:tcPr>
            <w:tcW w:type="dxa" w:w="1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Statistik Jhb 2024</w:t>
            </w:r>
          </w:p>
        </w:tc>
        <w:tc>
          <w:tcPr>
            <w:tcW w:type="dxa" w:w="5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static_real (Story 3 zeigt 299.811 Jan 2026 — leichter Drift, harmonisieren!)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2B4C"/>
          <w:sz w:val="30"/>
          <w:szCs w:val="30"/>
        </w:rPr>
        <w:t xml:space="preserve">3.3  „Bürger-Hinweise" und „Daten-Stories" — Status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Bürger-Hinweise (CITIZEN_REPORTS)</w:t>
      </w:r>
      <w:r>
        <w:rPr>
          <w:rFonts w:ascii="Calibri" w:cs="Calibri" w:eastAsia="Calibri" w:hAnsi="Calibri"/>
          <w:sz w:val="22"/>
          <w:szCs w:val="22"/>
        </w:rPr>
        <w:t xml:space="preserve">: 6 statische Beispiel-Reports in data.js (Z. 156). Status-Verteilung 3 offen / 2 in Bearbeitung / 1 erledigt.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Befund:</w:t>
      </w:r>
      <w:r>
        <w:rPr>
          <w:rFonts w:ascii="Calibri" w:cs="Calibri" w:eastAsia="Calibri" w:hAnsi="Calibri"/>
          <w:sz w:val="22"/>
          <w:szCs w:val="22"/>
        </w:rPr>
        <w:t xml:space="preserve"> sieht statisch aus, weil es statisch ist. Bürgerinnen sehen keine Aktualität. Die echten Reports gehen via mailto/Hessen-Portal raus und kommen nie zurück.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Daten-Stories</w:t>
      </w:r>
      <w:r>
        <w:rPr>
          <w:rFonts w:ascii="Calibri" w:cs="Calibri" w:eastAsia="Calibri" w:hAnsi="Calibri"/>
          <w:sz w:val="22"/>
          <w:szCs w:val="22"/>
        </w:rPr>
        <w:t xml:space="preserve">: 4 Stories (Wahl, Miete, Bevölkerung, Kaufkraft) — alle echt, alle aus Piveau-Datensätzen, alle Quellen verlinkt.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Befund:</w:t>
      </w:r>
      <w:r>
        <w:rPr>
          <w:rFonts w:ascii="Calibri" w:cs="Calibri" w:eastAsia="Calibri" w:hAnsi="Calibri"/>
          <w:sz w:val="22"/>
          <w:szCs w:val="22"/>
        </w:rPr>
        <w:t xml:space="preserve"> hochwertig, aber zu wenige. 4 Stories für 232 Datensätze ist eine 1,7 % Story-Coverage. Eine gut redaktionalisierte Stadt erzählt 10–15 Geschichten pro Quartal.</w:t>
      </w:r>
    </w:p>
    <w:p>
      <w:pPr>
        <w:pStyle w:val="Heading1"/>
        <w:spacing w:after="120" w:before="480"/>
      </w:pPr>
      <w:r>
        <w:rPr>
          <w:rFonts w:ascii="Calibri" w:cs="Calibri" w:eastAsia="Calibri" w:hAnsi="Calibri"/>
          <w:b/>
          <w:bCs/>
          <w:color w:val="1B2B4C"/>
          <w:sz w:val="40"/>
          <w:szCs w:val="40"/>
        </w:rPr>
        <w:t xml:space="preserve">4. API-Matrix — Was ist live anbindbar, was rechtssicher umgangen, was nicht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700"/>
        <w:gridCol w:w="900"/>
        <w:gridCol w:w="700"/>
        <w:gridCol w:w="800"/>
        <w:gridCol w:w="2460"/>
      </w:tblGrid>
      <w:tr>
        <w:trPr>
          <w:tblHeader/>
        </w:trPr>
        <w:tc>
          <w:tcPr>
            <w:tcW w:type="dxa" w:w="15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B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API / Quelle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B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  <w:tc>
          <w:tcPr>
            <w:tcW w:type="dxa" w:w="1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B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 2026</w:t>
            </w:r>
          </w:p>
        </w:tc>
        <w:tc>
          <w:tcPr>
            <w:tcW w:type="dxa" w:w="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B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B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CORS</w:t>
            </w:r>
          </w:p>
        </w:tc>
        <w:tc>
          <w:tcPr>
            <w:tcW w:type="dxa" w:w="8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B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Lizenz</w:t>
            </w:r>
          </w:p>
        </w:tc>
        <w:tc>
          <w:tcPr>
            <w:tcW w:type="dxa" w:w="2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B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</w:tr>
      <w:tr>
        <w:tc>
          <w:tcPr>
            <w:tcW w:type="dxa" w:w="15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UBA Luftqualität v4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AQI 7-Tage Wiesbaden Schiersteiner</w:t>
            </w:r>
          </w:p>
        </w:tc>
        <w:tc>
          <w:tcPr>
            <w:tcW w:type="dxa" w:w="1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luftdaten.umweltbundesamt.de/api/air-data/v4 — OFFEN, JSON</w:t>
            </w:r>
          </w:p>
        </w:tc>
        <w:tc>
          <w:tcPr>
            <w:tcW w:type="dxa" w:w="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kein Key</w:t>
            </w:r>
          </w:p>
        </w:tc>
        <w:tc>
          <w:tcPr>
            <w:tcW w:type="dxa" w:w="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CORS frei</w:t>
            </w:r>
          </w:p>
        </w:tc>
        <w:tc>
          <w:tcPr>
            <w:tcW w:type="dxa" w:w="8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DL-DE-BY-2.0</w:t>
            </w:r>
          </w:p>
        </w:tc>
        <w:tc>
          <w:tcPr>
            <w:tcW w:type="dxa" w:w="2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SOFORT (replaced KPI air mock)</w:t>
            </w:r>
          </w:p>
        </w:tc>
      </w:tr>
      <w:tr>
        <w:tc>
          <w:tcPr>
            <w:tcW w:type="dxa" w:w="15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Tankerkönig MTS-K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Spritpreise live</w:t>
            </w:r>
          </w:p>
        </w:tc>
        <w:tc>
          <w:tcPr>
            <w:tcW w:type="dxa" w:w="1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creativecommons.tankerkoenig.de — OFFEN mit Key</w:t>
            </w:r>
          </w:p>
        </w:tc>
        <w:tc>
          <w:tcPr>
            <w:tcW w:type="dxa" w:w="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kostenloser Key (24h)</w:t>
            </w:r>
          </w:p>
        </w:tc>
        <w:tc>
          <w:tcPr>
            <w:tcW w:type="dxa" w:w="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kein CORS — Proxy nötig</w:t>
            </w:r>
          </w:p>
        </w:tc>
        <w:tc>
          <w:tcPr>
            <w:tcW w:type="dxa" w:w="8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CC BY 4.0</w:t>
            </w:r>
          </w:p>
        </w:tc>
        <w:tc>
          <w:tcPr>
            <w:tcW w:type="dxa" w:w="2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SOFORT (Vercel Edge Function als Proxy)</w:t>
            </w:r>
          </w:p>
        </w:tc>
      </w:tr>
      <w:tr>
        <w:tc>
          <w:tcPr>
            <w:tcW w:type="dxa" w:w="15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Wiesbaden Piveau (CKAN-API)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232 Datensätze refresh</w:t>
            </w:r>
          </w:p>
        </w:tc>
        <w:tc>
          <w:tcPr>
            <w:tcW w:type="dxa" w:w="1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opendata.cloud.wiesbaden.de/api — wahrsch. Standard CKAN /api/3/action</w:t>
            </w:r>
          </w:p>
        </w:tc>
        <w:tc>
          <w:tcPr>
            <w:tcW w:type="dxa" w:w="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kein Key (Lese)</w:t>
            </w:r>
          </w:p>
        </w:tc>
        <w:tc>
          <w:tcPr>
            <w:tcW w:type="dxa" w:w="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wahrsch. CORS frei</w:t>
            </w:r>
          </w:p>
        </w:tc>
        <w:tc>
          <w:tcPr>
            <w:tcW w:type="dxa" w:w="8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CC BY 4.0</w:t>
            </w:r>
          </w:p>
        </w:tc>
        <w:tc>
          <w:tcPr>
            <w:tcW w:type="dxa" w:w="2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★★ Build-time fetch (keep static cache)</w:t>
            </w:r>
          </w:p>
        </w:tc>
      </w:tr>
      <w:tr>
        <w:tc>
          <w:tcPr>
            <w:tcW w:type="dxa" w:w="15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Destatis GENESIS-Online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Inflation, Bevölkerung, regional CPI</w:t>
            </w:r>
          </w:p>
        </w:tc>
        <w:tc>
          <w:tcPr>
            <w:tcW w:type="dxa" w:w="1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neue API ab Mitte 2025; alte deprecated</w:t>
            </w:r>
          </w:p>
        </w:tc>
        <w:tc>
          <w:tcPr>
            <w:tcW w:type="dxa" w:w="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kostenloser Key</w:t>
            </w:r>
          </w:p>
        </w:tc>
        <w:tc>
          <w:tcPr>
            <w:tcW w:type="dxa" w:w="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kein CORS</w:t>
            </w:r>
          </w:p>
        </w:tc>
        <w:tc>
          <w:tcPr>
            <w:tcW w:type="dxa" w:w="8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DL-DE-BY-2.0</w:t>
            </w:r>
          </w:p>
        </w:tc>
        <w:tc>
          <w:tcPr>
            <w:tcW w:type="dxa" w:w="2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Build-time mit BMWK-Konjunktur-Pattern</w:t>
            </w:r>
          </w:p>
        </w:tc>
      </w:tr>
      <w:tr>
        <w:tc>
          <w:tcPr>
            <w:tcW w:type="dxa" w:w="15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MaStR (Bundesnetzagentur)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PV/Wind/Heizung in Wiesbaden</w:t>
            </w:r>
          </w:p>
        </w:tc>
        <w:tc>
          <w:tcPr>
            <w:tcW w:type="dxa" w:w="1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marktstammdatenregister.de — XML/CSV + REST</w:t>
            </w:r>
          </w:p>
        </w:tc>
        <w:tc>
          <w:tcPr>
            <w:tcW w:type="dxa" w:w="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kein Key</w:t>
            </w:r>
          </w:p>
        </w:tc>
        <w:tc>
          <w:tcPr>
            <w:tcW w:type="dxa" w:w="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kein CORS</w:t>
            </w:r>
          </w:p>
        </w:tc>
        <w:tc>
          <w:tcPr>
            <w:tcW w:type="dxa" w:w="8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DL-DE-BY-2.0</w:t>
            </w:r>
          </w:p>
        </w:tc>
        <w:tc>
          <w:tcPr>
            <w:tcW w:type="dxa" w:w="2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Build-time (monatlich) für Energie-KPI</w:t>
            </w:r>
          </w:p>
        </w:tc>
      </w:tr>
      <w:tr>
        <w:tc>
          <w:tcPr>
            <w:tcW w:type="dxa" w:w="15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Hessen Mobil — Baustellen RhMa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Aktive Baustellen Wiesbaden</w:t>
            </w:r>
          </w:p>
        </w:tc>
        <w:tc>
          <w:tcPr>
            <w:tcW w:type="dxa" w:w="1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im Piveau-Katalog — Datensatz 'Baustellen/Verkehrsinformationen' CSV</w:t>
            </w:r>
          </w:p>
        </w:tc>
        <w:tc>
          <w:tcPr>
            <w:tcW w:type="dxa" w:w="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kein Key</w:t>
            </w:r>
          </w:p>
        </w:tc>
        <w:tc>
          <w:tcPr>
            <w:tcW w:type="dxa" w:w="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via Piveau</w:t>
            </w:r>
          </w:p>
        </w:tc>
        <w:tc>
          <w:tcPr>
            <w:tcW w:type="dxa" w:w="8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CC BY 4.0</w:t>
            </w:r>
          </w:p>
        </w:tc>
        <w:tc>
          <w:tcPr>
            <w:tcW w:type="dxa" w:w="2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Sofort — Construction-KPI live</w:t>
            </w:r>
          </w:p>
        </w:tc>
      </w:tr>
      <w:tr>
        <w:tc>
          <w:tcPr>
            <w:tcW w:type="dxa" w:w="15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P+R Hessen (statisch + dynamisch)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Park+Ride live</w:t>
            </w:r>
          </w:p>
        </w:tc>
        <w:tc>
          <w:tcPr>
            <w:tcW w:type="dxa" w:w="1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im Piveau-Katalog (2026-04-30!) — Wiesbaden enthalten</w:t>
            </w:r>
          </w:p>
        </w:tc>
        <w:tc>
          <w:tcPr>
            <w:tcW w:type="dxa" w:w="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kein Key</w:t>
            </w:r>
          </w:p>
        </w:tc>
        <w:tc>
          <w:tcPr>
            <w:tcW w:type="dxa" w:w="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via Piveau</w:t>
            </w:r>
          </w:p>
        </w:tc>
        <w:tc>
          <w:tcPr>
            <w:tcW w:type="dxa" w:w="8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CC BY 4.0</w:t>
            </w:r>
          </w:p>
        </w:tc>
        <w:tc>
          <w:tcPr>
            <w:tcW w:type="dxa" w:w="2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★★ Brand-neue Daten, Verkehr-Story</w:t>
            </w:r>
          </w:p>
        </w:tc>
      </w:tr>
      <w:tr>
        <w:tc>
          <w:tcPr>
            <w:tcW w:type="dxa" w:w="15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RMV / ESWE GTFS-RT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ÖPNV-Pünktlichkeit live</w:t>
            </w:r>
          </w:p>
        </w:tc>
        <w:tc>
          <w:tcPr>
            <w:tcW w:type="dxa" w:w="1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RMV OpenAPI — Key per E-Mail</w:t>
            </w:r>
          </w:p>
        </w:tc>
        <w:tc>
          <w:tcPr>
            <w:tcW w:type="dxa" w:w="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 (1–2 Wochen)</w:t>
            </w:r>
          </w:p>
        </w:tc>
        <w:tc>
          <w:tcPr>
            <w:tcW w:type="dxa" w:w="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kein CORS</w:t>
            </w:r>
          </w:p>
        </w:tc>
        <w:tc>
          <w:tcPr>
            <w:tcW w:type="dxa" w:w="8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RMV-Lizenz</w:t>
            </w:r>
          </w:p>
        </w:tc>
        <w:tc>
          <w:tcPr>
            <w:tcW w:type="dxa" w:w="2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★★ Mittelfristig — Edge Proxy</w:t>
            </w:r>
          </w:p>
        </w:tc>
      </w:tr>
      <w:tr>
        <w:tc>
          <w:tcPr>
            <w:tcW w:type="dxa" w:w="15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HLNUG Luft Messdatenportal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Wiesbaden 3 Stationen detail</w:t>
            </w:r>
          </w:p>
        </w:tc>
        <w:tc>
          <w:tcPr>
            <w:tcW w:type="dxa" w:w="1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hlnug.de/messwerte — kein dokumentierter API-Endpunkt</w:t>
            </w:r>
          </w:p>
        </w:tc>
        <w:tc>
          <w:tcPr>
            <w:tcW w:type="dxa" w:w="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Über UBA-API ersetzt; HLNUG nur als Quellenangabe</w:t>
            </w:r>
          </w:p>
        </w:tc>
      </w:tr>
      <w:tr>
        <w:tc>
          <w:tcPr>
            <w:tcW w:type="dxa" w:w="15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Sicherheitsportal Hessen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Mängelmelder</w:t>
            </w:r>
          </w:p>
        </w:tc>
        <w:tc>
          <w:tcPr>
            <w:tcW w:type="dxa" w:w="1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kein Read-API; nur Submit per Web-Form</w:t>
            </w:r>
          </w:p>
        </w:tc>
        <w:tc>
          <w:tcPr>
            <w:tcW w:type="dxa" w:w="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Bestehender Deeplink + mailto-Fallback halten</w:t>
            </w:r>
          </w:p>
        </w:tc>
      </w:tr>
      <w:tr>
        <w:tc>
          <w:tcPr>
            <w:tcW w:type="dxa" w:w="15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Polizei Hessen PKS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Sicherheits-Story Wiesbaden</w:t>
            </w:r>
          </w:p>
        </w:tc>
        <w:tc>
          <w:tcPr>
            <w:tcW w:type="dxa" w:w="1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PDF-Report jährlich, kein API</w:t>
            </w:r>
          </w:p>
        </w:tc>
        <w:tc>
          <w:tcPr>
            <w:tcW w:type="dxa" w:w="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Manuelles JSON-Snippet aus PKS 2025 (legal — Pressedaten)</w:t>
            </w:r>
          </w:p>
        </w:tc>
      </w:tr>
      <w:tr>
        <w:tc>
          <w:tcPr>
            <w:tcW w:type="dxa" w:w="15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Bundesagentur Arbeit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Arbeitslosenquote echt</w:t>
            </w:r>
          </w:p>
        </w:tc>
        <w:tc>
          <w:tcPr>
            <w:tcW w:type="dxa" w:w="1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statistik.arbeitsagentur.de — REST + CSV</w:t>
            </w:r>
          </w:p>
        </w:tc>
        <w:tc>
          <w:tcPr>
            <w:tcW w:type="dxa" w:w="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 auf Antrag</w:t>
            </w:r>
          </w:p>
        </w:tc>
        <w:tc>
          <w:tcPr>
            <w:tcW w:type="dxa" w:w="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kein CORS</w:t>
            </w:r>
          </w:p>
        </w:tc>
        <w:tc>
          <w:tcPr>
            <w:tcW w:type="dxa" w:w="8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DL-DE-BY-2.0</w:t>
            </w:r>
          </w:p>
        </w:tc>
        <w:tc>
          <w:tcPr>
            <w:tcW w:type="dxa" w:w="2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★★ Mittelfristig — Build-time monatlich</w:t>
            </w:r>
          </w:p>
        </w:tc>
      </w:tr>
      <w:tr>
        <w:tc>
          <w:tcPr>
            <w:tcW w:type="dxa" w:w="15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DWD Open Data</w:t>
            </w:r>
          </w:p>
        </w:tc>
        <w:tc>
          <w:tcPr>
            <w:tcW w:type="dxa" w:w="13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Wetter Wiesbaden</w:t>
            </w:r>
          </w:p>
        </w:tc>
        <w:tc>
          <w:tcPr>
            <w:tcW w:type="dxa" w:w="1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opendata.dwd.de — frei</w:t>
            </w:r>
          </w:p>
        </w:tc>
        <w:tc>
          <w:tcPr>
            <w:tcW w:type="dxa" w:w="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kein Key</w:t>
            </w:r>
          </w:p>
        </w:tc>
        <w:tc>
          <w:tcPr>
            <w:tcW w:type="dxa" w:w="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CORS frei</w:t>
            </w:r>
          </w:p>
        </w:tc>
        <w:tc>
          <w:tcPr>
            <w:tcW w:type="dxa" w:w="8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CC BY 4.0</w:t>
            </w:r>
          </w:p>
        </w:tc>
        <w:tc>
          <w:tcPr>
            <w:tcW w:type="dxa" w:w="2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Bonus — Klima-Story / Hitzeinsel-KPI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873E" w:sz="4"/>
              <w:left w:val="single" w:color="B7873E" w:sz="24"/>
              <w:bottom w:val="single" w:color="B7873E" w:sz="4"/>
              <w:right w:val="single" w:color="B7873E" w:sz="4"/>
            </w:tcBorders>
            <w:shd w:fill="F4F6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7873E"/>
                <w:sz w:val="20"/>
                <w:szCs w:val="20"/>
              </w:rPr>
              <w:t xml:space="preserve">RECHTSSICHERER UMGANG MIT FEHLENDEN APIs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Wo keine offene API existiert (Sicherheitsportal, Polizei PKS, ESWE), ist die rechtlich saubere Strategie: (a) statisches JSON aus dem letzten offiziellen Pressereport als „Stand 2025" mit Quelle deklarieren — das gilt nach §44 UrhG und §5 IZG-DE als amtliches Werk und ist gemeinfrei, sofern Quelle korrekt attribuiert; (b) ein „Bürger-Sensor"-Layer parallel betreiben (Citizen Science), wo Anonymität DSGVO-konform durch lokale localStorage-Aggregation gewährleistet wird (bereits implementiert für Spritpreise und Lebensmittel — ausweiten); (c) für ESWE-Pünktlichkeit ein Crowdsource-Tool im Stil des Bahn-Pünktlichkeits-Trackers von Bahnvision starten — aber juristisch das Wort „Pünktlichkeit" durch „Bürger-Beobachtung" ersetzen, um keine ÖPNV-Vertrags-Aussage zu suggerieren.</w:t>
            </w:r>
          </w:p>
        </w:tc>
      </w:tr>
    </w:tbl>
    <w:p>
      <w:pPr>
        <w:pStyle w:val="Heading1"/>
        <w:spacing w:after="120" w:before="480"/>
      </w:pPr>
      <w:r>
        <w:rPr>
          <w:rFonts w:ascii="Calibri" w:cs="Calibri" w:eastAsia="Calibri" w:hAnsi="Calibri"/>
          <w:b/>
          <w:bCs/>
          <w:color w:val="1B2B4C"/>
          <w:sz w:val="40"/>
          <w:szCs w:val="40"/>
        </w:rPr>
        <w:t xml:space="preserve">5. Die 71 ungenutzten Datensätze — Top-Picks für Bürger-Narrativ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</w:rPr>
        <w:t xml:space="preserve">Aus dem Piveau-Katalog (232 Datensätze, davon 217 in 2026 modifiziert, 71 nicht im Dashboard verwendet) sind dies die mit höchstem Bürgernutzen-Hebel: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37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B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Datensatz</w:t>
            </w:r>
          </w:p>
        </w:tc>
        <w:tc>
          <w:tcPr>
            <w:tcW w:type="dxa" w:w="11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B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Stand</w:t>
            </w:r>
          </w:p>
        </w:tc>
        <w:tc>
          <w:tcPr>
            <w:tcW w:type="dxa" w:w="3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B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Story-Potenzial</w:t>
            </w:r>
          </w:p>
        </w:tc>
        <w:tc>
          <w:tcPr>
            <w:tcW w:type="dxa" w:w="1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B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3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P+R Hessen (dynamisch)</w:t>
            </w:r>
          </w:p>
        </w:tc>
        <w:tc>
          <w:tcPr>
            <w:tcW w:type="dxa" w:w="11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2026-04-30</w:t>
            </w:r>
          </w:p>
        </w:tc>
        <w:tc>
          <w:tcPr>
            <w:tcW w:type="dxa" w:w="3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Live-Belegung Wiesbadens 4 P+R-Plätze für Pendler — täglich genutzt</w:t>
            </w:r>
          </w:p>
        </w:tc>
        <w:tc>
          <w:tcPr>
            <w:tcW w:type="dxa" w:w="1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Alltag</w:t>
            </w:r>
          </w:p>
        </w:tc>
      </w:tr>
      <w:tr>
        <w:tc>
          <w:tcPr>
            <w:tcW w:type="dxa" w:w="3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P+R Hessen (statisch)</w:t>
            </w:r>
          </w:p>
        </w:tc>
        <w:tc>
          <w:tcPr>
            <w:tcW w:type="dxa" w:w="11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2026-04-30</w:t>
            </w:r>
          </w:p>
        </w:tc>
        <w:tc>
          <w:tcPr>
            <w:tcW w:type="dxa" w:w="3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26 Ortsbezirke × Pendler-Distanz nach P+R</w:t>
            </w:r>
          </w:p>
        </w:tc>
        <w:tc>
          <w:tcPr>
            <w:tcW w:type="dxa" w:w="1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Übersicht / Karte</w:t>
            </w:r>
          </w:p>
        </w:tc>
      </w:tr>
      <w:tr>
        <w:tc>
          <w:tcPr>
            <w:tcW w:type="dxa" w:w="3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Bautätigkeit pro Ortsbezirk 2012–2024</w:t>
            </w:r>
          </w:p>
        </w:tc>
        <w:tc>
          <w:tcPr>
            <w:tcW w:type="dxa" w:w="11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2026-01-14</w:t>
            </w:r>
          </w:p>
        </w:tc>
        <w:tc>
          <w:tcPr>
            <w:tcW w:type="dxa" w:w="3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Wer baut wo? Westend vs Heßloch — knüpft an Wohnen-Story an</w:t>
            </w:r>
          </w:p>
        </w:tc>
        <w:tc>
          <w:tcPr>
            <w:tcW w:type="dxa" w:w="1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Wohnen (neuer Tab)</w:t>
            </w:r>
          </w:p>
        </w:tc>
      </w:tr>
      <w:tr>
        <w:tc>
          <w:tcPr>
            <w:tcW w:type="dxa" w:w="3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Wohnungsbestand pro Ortsbezirk 2020–2024</w:t>
            </w:r>
          </w:p>
        </w:tc>
        <w:tc>
          <w:tcPr>
            <w:tcW w:type="dxa" w:w="11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2026-01-14</w:t>
            </w:r>
          </w:p>
        </w:tc>
        <w:tc>
          <w:tcPr>
            <w:tcW w:type="dxa" w:w="3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Bestandsentwicklung — Vergleich Bestand ↔ Neubau</w:t>
            </w:r>
          </w:p>
        </w:tc>
        <w:tc>
          <w:tcPr>
            <w:tcW w:type="dxa" w:w="1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Wohnen</w:t>
            </w:r>
          </w:p>
        </w:tc>
      </w:tr>
      <w:tr>
        <w:tc>
          <w:tcPr>
            <w:tcW w:type="dxa" w:w="3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Sozialwohnungen pro Ortsbezirk 2014–2024</w:t>
            </w:r>
          </w:p>
        </w:tc>
        <w:tc>
          <w:tcPr>
            <w:tcW w:type="dxa" w:w="11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2026-01-14</w:t>
            </w:r>
          </w:p>
        </w:tc>
        <w:tc>
          <w:tcPr>
            <w:tcW w:type="dxa" w:w="3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Already in Story 2 (citywide); fehlt Bezirks-Detail</w:t>
            </w:r>
          </w:p>
        </w:tc>
        <w:tc>
          <w:tcPr>
            <w:tcW w:type="dxa" w:w="1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Wohnen + Mein Ortsbezirk</w:t>
            </w:r>
          </w:p>
        </w:tc>
      </w:tr>
      <w:tr>
        <w:tc>
          <w:tcPr>
            <w:tcW w:type="dxa" w:w="3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Fertiggestellte Neubauwohnungen pro Ortsbezirk 2020–2024</w:t>
            </w:r>
          </w:p>
        </w:tc>
        <w:tc>
          <w:tcPr>
            <w:tcW w:type="dxa" w:w="11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2026-01-14</w:t>
            </w:r>
          </w:p>
        </w:tc>
        <w:tc>
          <w:tcPr>
            <w:tcW w:type="dxa" w:w="3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Top-3 Bauboom-Bezirke; Mitte vs Klarenthal</w:t>
            </w:r>
          </w:p>
        </w:tc>
        <w:tc>
          <w:tcPr>
            <w:tcW w:type="dxa" w:w="1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Wohnen</w:t>
            </w:r>
          </w:p>
        </w:tc>
      </w:tr>
      <w:tr>
        <w:tc>
          <w:tcPr>
            <w:tcW w:type="dxa" w:w="3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Baufertigstellungen Wohngebäude 1987–2024</w:t>
            </w:r>
          </w:p>
        </w:tc>
        <w:tc>
          <w:tcPr>
            <w:tcW w:type="dxa" w:w="11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2026-01-14</w:t>
            </w:r>
          </w:p>
        </w:tc>
        <w:tc>
          <w:tcPr>
            <w:tcW w:type="dxa" w:w="3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37 Jahre Stadtgeschichte — perfekte Daten-Story</w:t>
            </w:r>
          </w:p>
        </w:tc>
        <w:tc>
          <w:tcPr>
            <w:tcW w:type="dxa" w:w="1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Story 5</w:t>
            </w:r>
          </w:p>
        </w:tc>
      </w:tr>
      <w:tr>
        <w:tc>
          <w:tcPr>
            <w:tcW w:type="dxa" w:w="3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Schülerinnen pro Schulform 2016–2024</w:t>
            </w:r>
          </w:p>
        </w:tc>
        <w:tc>
          <w:tcPr>
            <w:tcW w:type="dxa" w:w="11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2026-01-14</w:t>
            </w:r>
          </w:p>
        </w:tc>
        <w:tc>
          <w:tcPr>
            <w:tcW w:type="dxa" w:w="3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Familien-Bezugsthema — komplett fehlend</w:t>
            </w:r>
          </w:p>
        </w:tc>
        <w:tc>
          <w:tcPr>
            <w:tcW w:type="dxa" w:w="1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Alltag (neuer Tab Bildung)</w:t>
            </w:r>
          </w:p>
        </w:tc>
      </w:tr>
      <w:tr>
        <w:tc>
          <w:tcPr>
            <w:tcW w:type="dxa" w:w="3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Schulentlassene 2019–2024</w:t>
            </w:r>
          </w:p>
        </w:tc>
        <w:tc>
          <w:tcPr>
            <w:tcW w:type="dxa" w:w="11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2026-01-14</w:t>
            </w:r>
          </w:p>
        </w:tc>
        <w:tc>
          <w:tcPr>
            <w:tcW w:type="dxa" w:w="3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Abitur/Realschulabschluss-Quote — Sozialstatistik</w:t>
            </w:r>
          </w:p>
        </w:tc>
        <w:tc>
          <w:tcPr>
            <w:tcW w:type="dxa" w:w="1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Demokratie? Daten-Story</w:t>
            </w:r>
          </w:p>
        </w:tc>
      </w:tr>
      <w:tr>
        <w:tc>
          <w:tcPr>
            <w:tcW w:type="dxa" w:w="3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Schulen pro Schulform 2016–2024</w:t>
            </w:r>
          </w:p>
        </w:tc>
        <w:tc>
          <w:tcPr>
            <w:tcW w:type="dxa" w:w="11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2026-01-14</w:t>
            </w:r>
          </w:p>
        </w:tc>
        <w:tc>
          <w:tcPr>
            <w:tcW w:type="dxa" w:w="3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Schulversorgung pro Bezirk — Eltern-Werkzeug</w:t>
            </w:r>
          </w:p>
        </w:tc>
        <w:tc>
          <w:tcPr>
            <w:tcW w:type="dxa" w:w="1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Bildung</w:t>
            </w:r>
          </w:p>
        </w:tc>
      </w:tr>
      <w:tr>
        <w:tc>
          <w:tcPr>
            <w:tcW w:type="dxa" w:w="3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Haushalte nach Wohnungsnutzung 2006–2024</w:t>
            </w:r>
          </w:p>
        </w:tc>
        <w:tc>
          <w:tcPr>
            <w:tcW w:type="dxa" w:w="11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2026-01-14</w:t>
            </w:r>
          </w:p>
        </w:tc>
        <w:tc>
          <w:tcPr>
            <w:tcW w:type="dxa" w:w="3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Eigentum vs Miete pro Bezirk — knüpft an Wohnen</w:t>
            </w:r>
          </w:p>
        </w:tc>
        <w:tc>
          <w:tcPr>
            <w:tcW w:type="dxa" w:w="1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Wohnen</w:t>
            </w:r>
          </w:p>
        </w:tc>
      </w:tr>
      <w:tr>
        <w:tc>
          <w:tcPr>
            <w:tcW w:type="dxa" w:w="3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Ergebnishaushalt Wiesbaden 2023–2025</w:t>
            </w:r>
          </w:p>
        </w:tc>
        <w:tc>
          <w:tcPr>
            <w:tcW w:type="dxa" w:w="11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2025-10-20</w:t>
            </w:r>
          </w:p>
        </w:tc>
        <w:tc>
          <w:tcPr>
            <w:tcW w:type="dxa" w:w="3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Stadt-Budget transparent — radikal selten</w:t>
            </w:r>
          </w:p>
        </w:tc>
        <w:tc>
          <w:tcPr>
            <w:tcW w:type="dxa" w:w="1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Demokratie / Daten-Story</w:t>
            </w:r>
          </w:p>
        </w:tc>
      </w:tr>
      <w:tr>
        <w:tc>
          <w:tcPr>
            <w:tcW w:type="dxa" w:w="3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Kaufkraft &amp; Arbeitsmarkt Dez 2025</w:t>
            </w:r>
          </w:p>
        </w:tc>
        <w:tc>
          <w:tcPr>
            <w:tcW w:type="dxa" w:w="11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2026-02-19</w:t>
            </w:r>
          </w:p>
        </w:tc>
        <w:tc>
          <w:tcPr>
            <w:tcW w:type="dxa" w:w="3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Bereits in Story 4 — Visualisierung als View ergänzen</w:t>
            </w:r>
          </w:p>
        </w:tc>
        <w:tc>
          <w:tcPr>
            <w:tcW w:type="dxa" w:w="1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Übersicht</w:t>
            </w:r>
          </w:p>
        </w:tc>
      </w:tr>
      <w:tr>
        <w:tc>
          <w:tcPr>
            <w:tcW w:type="dxa" w:w="3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Wahlberechtigte Ausländerbeirat 2026</w:t>
            </w:r>
          </w:p>
        </w:tc>
        <w:tc>
          <w:tcPr>
            <w:tcW w:type="dxa" w:w="11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2026-02-19</w:t>
            </w:r>
          </w:p>
        </w:tc>
        <w:tc>
          <w:tcPr>
            <w:tcW w:type="dxa" w:w="3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25,3 % Ausländer-Anteil — Story 6 Demokratie-Migration</w:t>
            </w:r>
          </w:p>
        </w:tc>
        <w:tc>
          <w:tcPr>
            <w:tcW w:type="dxa" w:w="1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Demokratie</w:t>
            </w:r>
          </w:p>
        </w:tc>
      </w:tr>
      <w:tr>
        <w:tc>
          <w:tcPr>
            <w:tcW w:type="dxa" w:w="3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Wohndauer Wahlberechtigte Ausländerbeirat</w:t>
            </w:r>
          </w:p>
        </w:tc>
        <w:tc>
          <w:tcPr>
            <w:tcW w:type="dxa" w:w="11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2026-02-19</w:t>
            </w:r>
          </w:p>
        </w:tc>
        <w:tc>
          <w:tcPr>
            <w:tcW w:type="dxa" w:w="3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Integrations-Indikator — selten visualisiert</w:t>
            </w:r>
          </w:p>
        </w:tc>
        <w:tc>
          <w:tcPr>
            <w:tcW w:type="dxa" w:w="1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Demokratie</w:t>
            </w:r>
          </w:p>
        </w:tc>
      </w:tr>
      <w:tr>
        <w:tc>
          <w:tcPr>
            <w:tcW w:type="dxa" w:w="3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Verkehrsmeldungen Radverkehr</w:t>
            </w:r>
          </w:p>
        </w:tc>
        <w:tc>
          <w:tcPr>
            <w:tcW w:type="dxa" w:w="11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2023-01-23</w:t>
            </w:r>
          </w:p>
        </w:tc>
        <w:tc>
          <w:tcPr>
            <w:tcW w:type="dxa" w:w="3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Fahrrad-Sperrungen + Baustellen</w:t>
            </w:r>
          </w:p>
        </w:tc>
        <w:tc>
          <w:tcPr>
            <w:tcW w:type="dxa" w:w="1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Alltag</w:t>
            </w:r>
          </w:p>
        </w:tc>
      </w:tr>
      <w:tr>
        <w:tc>
          <w:tcPr>
            <w:tcW w:type="dxa" w:w="3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Wiesbaden Umweltdaten dynamisch</w:t>
            </w:r>
          </w:p>
        </w:tc>
        <w:tc>
          <w:tcPr>
            <w:tcW w:type="dxa" w:w="11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2023-06-20</w:t>
            </w:r>
          </w:p>
        </w:tc>
        <w:tc>
          <w:tcPr>
            <w:tcW w:type="dxa" w:w="3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Energie/Wasser/Müll dynamisch</w:t>
            </w:r>
          </w:p>
        </w:tc>
        <w:tc>
          <w:tcPr>
            <w:tcW w:type="dxa" w:w="1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Übersicht (Energy-KPI)</w:t>
            </w:r>
          </w:p>
        </w:tc>
      </w:tr>
      <w:tr>
        <w:tc>
          <w:tcPr>
            <w:tcW w:type="dxa" w:w="3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Wahlausgang nach Bezirk (panaschiert)</w:t>
            </w:r>
          </w:p>
        </w:tc>
        <w:tc>
          <w:tcPr>
            <w:tcW w:type="dxa" w:w="11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2026-04-20</w:t>
            </w:r>
          </w:p>
        </w:tc>
        <w:tc>
          <w:tcPr>
            <w:tcW w:type="dxa" w:w="3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Persönlichkeitswahl — sehr Wiesbaden-spezifisch</w:t>
            </w:r>
          </w:p>
        </w:tc>
        <w:tc>
          <w:tcPr>
            <w:tcW w:type="dxa" w:w="1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Demokratie</w:t>
            </w:r>
          </w:p>
        </w:tc>
      </w:tr>
      <w:tr>
        <w:tc>
          <w:tcPr>
            <w:tcW w:type="dxa" w:w="3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Sitzverteilung Ortsbeiräte 2021/2026</w:t>
            </w:r>
          </w:p>
        </w:tc>
        <w:tc>
          <w:tcPr>
            <w:tcW w:type="dxa" w:w="11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2026-04-20</w:t>
            </w:r>
          </w:p>
        </w:tc>
        <w:tc>
          <w:tcPr>
            <w:tcW w:type="dxa" w:w="37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Wer sitzt im Ortsbeirat? Bürger-Werkzeug</w:t>
            </w:r>
          </w:p>
        </w:tc>
        <w:tc>
          <w:tcPr>
            <w:tcW w:type="dxa" w:w="15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Demokratie + Mein Ortsbezirk</w:t>
            </w:r>
          </w:p>
        </w:tc>
      </w:tr>
    </w:tbl>
    <w:p>
      <w:pPr>
        <w:pStyle w:val="Heading1"/>
        <w:spacing w:after="120" w:before="480"/>
      </w:pPr>
      <w:r>
        <w:rPr>
          <w:rFonts w:ascii="Calibri" w:cs="Calibri" w:eastAsia="Calibri" w:hAnsi="Calibri"/>
          <w:b/>
          <w:bCs/>
          <w:color w:val="1B2B4C"/>
          <w:sz w:val="40"/>
          <w:szCs w:val="40"/>
        </w:rPr>
        <w:t xml:space="preserve">6. 10 Genius Ideations — hyper-spezifische, sofort umsetzbare Maßnahmen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B4C" w:sz="4"/>
              <w:left w:val="single" w:color="1B2B4C" w:sz="24"/>
              <w:bottom w:val="single" w:color="1B2B4C" w:sz="4"/>
              <w:right w:val="single" w:color="1B2B4C" w:sz="4"/>
            </w:tcBorders>
            <w:shd w:fill="F4F6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B4C"/>
                <w:sz w:val="20"/>
                <w:szCs w:val="20"/>
              </w:rPr>
              <w:t xml:space="preserve">LEITPRINZIP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Jede Maßnahme verbindet entweder zwei vorhandene Sub-Layer (Daten ↔ Render ↔ Citizen ↔ Trust) oder ersetzt einen Mock 1:1 durch eine offene Quelle. Keine neue View. Aufwand in Founder-Tagen (8 h) angegeben; Hebel = 1 niedrig, 5 hoch.</w:t>
            </w:r>
          </w:p>
        </w:tc>
      </w:tr>
    </w:tbl>
    <w:p>
      <w:pPr>
        <w:spacing w:after="60" w:before="240" w:line="320"/>
        <w:jc w:val="left"/>
      </w:pPr>
      <w:r>
        <w:rPr>
          <w:rFonts w:ascii="Calibri" w:cs="Calibri" w:eastAsia="Calibri" w:hAnsi="Calibri"/>
          <w:b/>
          <w:bCs/>
          <w:color w:val="1B2B4C"/>
          <w:sz w:val="26"/>
          <w:szCs w:val="26"/>
        </w:rPr>
        <w:t xml:space="preserve">01.  Zustands-bedingte „Was kann ich tun?"-Action-Box (Modell 4 Synthese)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Heute zeigt die Detail-Action-Box für jeden Bezirk die gleichen 3 Buttons. Aufwertung: Action-Box als Ausgabe einer kleinen Regel-Engine, die KPI-Werte des Bezirks gegen Schwellenwerte prüft und passende CTAs einblendet. Beispiele: Kita-Quote &lt; 50% → Button „WiKITA-Vormerkung jetzt" mit Tiefenlink in WiKITA-Bezirksformular; Wahlbeteiligung &lt; 35% → Button „Briefwahl 2026 beantragen" mit Deeplink ins Wiesbadener Wahlamt; Sozialwohnungs-Quote &lt; 5% → Button „Wohnberechtigungsschein-Antrag". Die Regel-Engine ist 80 Zeilen JS, läuft komplett client-seitig, bleibt DSGVO-trivial. Effekt: das Dashboard wird das einzige in DACH-Region, das nicht nur statt zeigt, sondern delegiert.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  <w:sz w:val="18"/>
          <w:szCs w:val="18"/>
        </w:rPr>
        <w:t xml:space="preserve">Aufwand: </w:t>
      </w:r>
      <w:r>
        <w:rPr>
          <w:rFonts w:ascii="Calibri" w:cs="Calibri" w:eastAsia="Calibri" w:hAnsi="Calibri"/>
          <w:b/>
          <w:bCs/>
          <w:color w:val="1B2B4C"/>
          <w:sz w:val="18"/>
          <w:szCs w:val="18"/>
        </w:rPr>
        <w:t xml:space="preserve">1,5 Tage</w:t>
      </w:r>
      <w:r>
        <w:rPr>
          <w:rFonts w:ascii="Calibri" w:cs="Calibri" w:eastAsia="Calibri" w:hAnsi="Calibri"/>
          <w:color w:val="5C6470"/>
          <w:sz w:val="18"/>
          <w:szCs w:val="18"/>
        </w:rPr>
        <w:t xml:space="preserve">   ·   Hebel: </w:t>
      </w:r>
      <w:r>
        <w:rPr>
          <w:rFonts w:ascii="Calibri" w:cs="Calibri" w:eastAsia="Calibri" w:hAnsi="Calibri"/>
          <w:color w:val="B7873E"/>
          <w:sz w:val="18"/>
          <w:szCs w:val="18"/>
        </w:rPr>
        <w:t xml:space="preserve">★★★★★</w:t>
      </w:r>
    </w:p>
    <w:p>
      <w:pPr>
        <w:spacing w:after="60" w:before="240" w:line="320"/>
        <w:jc w:val="left"/>
      </w:pPr>
      <w:r>
        <w:rPr>
          <w:rFonts w:ascii="Calibri" w:cs="Calibri" w:eastAsia="Calibri" w:hAnsi="Calibri"/>
          <w:b/>
          <w:bCs/>
          <w:color w:val="1B2B4C"/>
          <w:sz w:val="26"/>
          <w:szCs w:val="26"/>
        </w:rPr>
        <w:t xml:space="preserve">02.  UBA-Luftqualität-API live einbauen (Mock-Killing #1)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Endpunkt luftdaten.umweltbundesamt.de/api/air-data/v4/measure?date_from=...&amp;station=DEHE...&amp;component=NO2,PM10,PM2 für Wiesbaden Schiersteiner-Straße (Station-ID DEHE039 oder analog), CORS-frei. Implementation: app.js fetch on view-init, 30-min-Cache via localStorage mit Stand-Stempel. Das KPI-Detail-Modal zeigt dann tatsächlich 7 Tagesdaten statt fest verdrahtetem [38,40,45,…,42]. Das eliminiert das größte verdeckte Mock im Dashboard und schließt die einzige Lücke im Trust-Layer (HLNUG ist im Footer als Quelle deklariert, das Mockup wurde aber nie gegen die Realwerte gespiegelt). Bonus-Story: PM2.5 vs WHO-Schwelle — Wiesbaden-Schiersteiner liegt 2024 noch über WHO-Empfehlung, eine starke Sichtbarmachung.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  <w:sz w:val="18"/>
          <w:szCs w:val="18"/>
        </w:rPr>
        <w:t xml:space="preserve">Aufwand: </w:t>
      </w:r>
      <w:r>
        <w:rPr>
          <w:rFonts w:ascii="Calibri" w:cs="Calibri" w:eastAsia="Calibri" w:hAnsi="Calibri"/>
          <w:b/>
          <w:bCs/>
          <w:color w:val="1B2B4C"/>
          <w:sz w:val="18"/>
          <w:szCs w:val="18"/>
        </w:rPr>
        <w:t xml:space="preserve">0,5 Tage</w:t>
      </w:r>
      <w:r>
        <w:rPr>
          <w:rFonts w:ascii="Calibri" w:cs="Calibri" w:eastAsia="Calibri" w:hAnsi="Calibri"/>
          <w:color w:val="5C6470"/>
          <w:sz w:val="18"/>
          <w:szCs w:val="18"/>
        </w:rPr>
        <w:t xml:space="preserve">   ·   Hebel: </w:t>
      </w:r>
      <w:r>
        <w:rPr>
          <w:rFonts w:ascii="Calibri" w:cs="Calibri" w:eastAsia="Calibri" w:hAnsi="Calibri"/>
          <w:color w:val="B7873E"/>
          <w:sz w:val="18"/>
          <w:szCs w:val="18"/>
        </w:rPr>
        <w:t xml:space="preserve">★★★★★</w:t>
      </w:r>
    </w:p>
    <w:p>
      <w:pPr>
        <w:spacing w:after="60" w:before="240" w:line="320"/>
        <w:jc w:val="left"/>
      </w:pPr>
      <w:r>
        <w:rPr>
          <w:rFonts w:ascii="Calibri" w:cs="Calibri" w:eastAsia="Calibri" w:hAnsi="Calibri"/>
          <w:b/>
          <w:bCs/>
          <w:color w:val="1B2B4C"/>
          <w:sz w:val="26"/>
          <w:szCs w:val="26"/>
        </w:rPr>
        <w:t xml:space="preserve">03.  Tankerkönig-API mit Vercel-Edge-Function-Proxy (Mock-Killing #2)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Tankerkönig liefert keinen CORS-Header; daher Edge-Function /api/fuel/:plz, die den Tankerkönig-Request server-seitig macht und CORS-frei zurückgibt. Cache-Control 5 min (Tankerkönig-Limit). Anchored prices in data.js fallen weg. Mock-Badge entfällt automatisch. Vercel-Free-Plan reicht; Tankerkönig-Key wird per Onboarding-Formular in 24 h ausgestellt. Risikohinweis: vom Tankerkönig-Account muss ein „Use case: Stadt-Dashboard, max 33 Stationen, Cache 5 min" eingetragen werden (entspricht den AGB). Implementation: 1 .ts-File für die Function, fuel.js wird auf fetch('/api/fuel/'+plz) umgestellt — 30 Zeilen-Diff.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  <w:sz w:val="18"/>
          <w:szCs w:val="18"/>
        </w:rPr>
        <w:t xml:space="preserve">Aufwand: </w:t>
      </w:r>
      <w:r>
        <w:rPr>
          <w:rFonts w:ascii="Calibri" w:cs="Calibri" w:eastAsia="Calibri" w:hAnsi="Calibri"/>
          <w:b/>
          <w:bCs/>
          <w:color w:val="1B2B4C"/>
          <w:sz w:val="18"/>
          <w:szCs w:val="18"/>
        </w:rPr>
        <w:t xml:space="preserve">1 Tag</w:t>
      </w:r>
      <w:r>
        <w:rPr>
          <w:rFonts w:ascii="Calibri" w:cs="Calibri" w:eastAsia="Calibri" w:hAnsi="Calibri"/>
          <w:color w:val="5C6470"/>
          <w:sz w:val="18"/>
          <w:szCs w:val="18"/>
        </w:rPr>
        <w:t xml:space="preserve">   ·   Hebel: </w:t>
      </w:r>
      <w:r>
        <w:rPr>
          <w:rFonts w:ascii="Calibri" w:cs="Calibri" w:eastAsia="Calibri" w:hAnsi="Calibri"/>
          <w:color w:val="B7873E"/>
          <w:sz w:val="18"/>
          <w:szCs w:val="18"/>
        </w:rPr>
        <w:t xml:space="preserve">★★★★★</w:t>
      </w:r>
    </w:p>
    <w:p>
      <w:pPr>
        <w:spacing w:after="60" w:before="240" w:line="320"/>
        <w:jc w:val="left"/>
      </w:pPr>
      <w:r>
        <w:rPr>
          <w:rFonts w:ascii="Calibri" w:cs="Calibri" w:eastAsia="Calibri" w:hAnsi="Calibri"/>
          <w:b/>
          <w:bCs/>
          <w:color w:val="1B2B4C"/>
          <w:sz w:val="26"/>
          <w:szCs w:val="26"/>
        </w:rPr>
        <w:t xml:space="preserve">04.  Daten-Stories von 4 → 10 (Story-Layer-Verdichtung)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Konkrete neue Stories aus den 71 ungenutzten Datensätzen: Story 5 — „37 Jahre Wohnungsbau in Wiesbaden" (1987–2024, klassischer Datenstory-Slowburn); Story 6 — „Wer wählt den Ausländerbeirat?" (Wahlberechtigte × Wohndauer × Alter — Migration-Storyline); Story 7 — „Wohin geht das Geld?" (Ergebnishaushalt 2023–2025 — Top 5 Ausgabenposten als Sankey); Story 8 — „Schule und Bezirk" (Schülerzahlen × Bezirk × Schulform — knüpft an Familien-Persona); Story 9 — „Pendler-Hauptstadt" (P+R-dynamisch + ESWE-Statistik + Kaufkraft → Wiesbadens 110k Tages-Einpendler); Story 10 — „Was sich seit dem Lagebild v1 verändert hat" (Selbst-reflexive Story über das Dashboard, schließt Trust-Layer-Schleife). Jede Story = 1 Card, 1 Modal, 1 Chart, 1 Quellenlink — bestehende Komponenten wiederverwendbar.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  <w:sz w:val="18"/>
          <w:szCs w:val="18"/>
        </w:rPr>
        <w:t xml:space="preserve">Aufwand: </w:t>
      </w:r>
      <w:r>
        <w:rPr>
          <w:rFonts w:ascii="Calibri" w:cs="Calibri" w:eastAsia="Calibri" w:hAnsi="Calibri"/>
          <w:b/>
          <w:bCs/>
          <w:color w:val="1B2B4C"/>
          <w:sz w:val="18"/>
          <w:szCs w:val="18"/>
        </w:rPr>
        <w:t xml:space="preserve">2 Tage</w:t>
      </w:r>
      <w:r>
        <w:rPr>
          <w:rFonts w:ascii="Calibri" w:cs="Calibri" w:eastAsia="Calibri" w:hAnsi="Calibri"/>
          <w:color w:val="5C6470"/>
          <w:sz w:val="18"/>
          <w:szCs w:val="18"/>
        </w:rPr>
        <w:t xml:space="preserve">   ·   Hebel: </w:t>
      </w:r>
      <w:r>
        <w:rPr>
          <w:rFonts w:ascii="Calibri" w:cs="Calibri" w:eastAsia="Calibri" w:hAnsi="Calibri"/>
          <w:color w:val="B7873E"/>
          <w:sz w:val="18"/>
          <w:szCs w:val="18"/>
        </w:rPr>
        <w:t xml:space="preserve">★★★★★</w:t>
      </w:r>
    </w:p>
    <w:p>
      <w:pPr>
        <w:spacing w:after="60" w:before="240" w:line="320"/>
        <w:jc w:val="left"/>
      </w:pPr>
      <w:r>
        <w:rPr>
          <w:rFonts w:ascii="Calibri" w:cs="Calibri" w:eastAsia="Calibri" w:hAnsi="Calibri"/>
          <w:b/>
          <w:bCs/>
          <w:color w:val="1B2B4C"/>
          <w:sz w:val="26"/>
          <w:szCs w:val="26"/>
        </w:rPr>
        <w:t xml:space="preserve">05.  „Mein Ortsbezirk" verdrahten mit Datenassistent + Stories (Modell 8 Verdichtung)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Heute ist Mein-Ortsbezirk-Dropdown unverbunden mit dem floating Datenassistent (BM25-Search). Wenn Nutzer Heßloch wählt, sollte das BM25-Drawer als Pre-Filter „Heßloch" tragen (im Suchfeld als Chip), und die Stories sollten als sekundäre Spalte rechts danach gefiltert werden („Stories über Heßloch: 2 von 10"). Effekt: bessere Discovery. Implementation: globaler Zustand district = useDistrictStore() (schon halbexistent über mo-select), drei Subscriber im BM25-Drawer und in der Story-Liste. 60 Zeilen-Diff. Riesen-Engagement-Hebel — BM25-Drawer wird vom Hilfsmodul zum Verlängerungsarm der Bezirks-Auswahl.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  <w:sz w:val="18"/>
          <w:szCs w:val="18"/>
        </w:rPr>
        <w:t xml:space="preserve">Aufwand: </w:t>
      </w:r>
      <w:r>
        <w:rPr>
          <w:rFonts w:ascii="Calibri" w:cs="Calibri" w:eastAsia="Calibri" w:hAnsi="Calibri"/>
          <w:b/>
          <w:bCs/>
          <w:color w:val="1B2B4C"/>
          <w:sz w:val="18"/>
          <w:szCs w:val="18"/>
        </w:rPr>
        <w:t xml:space="preserve">1 Tag</w:t>
      </w:r>
      <w:r>
        <w:rPr>
          <w:rFonts w:ascii="Calibri" w:cs="Calibri" w:eastAsia="Calibri" w:hAnsi="Calibri"/>
          <w:color w:val="5C6470"/>
          <w:sz w:val="18"/>
          <w:szCs w:val="18"/>
        </w:rPr>
        <w:t xml:space="preserve">   ·   Hebel: </w:t>
      </w:r>
      <w:r>
        <w:rPr>
          <w:rFonts w:ascii="Calibri" w:cs="Calibri" w:eastAsia="Calibri" w:hAnsi="Calibri"/>
          <w:color w:val="B7873E"/>
          <w:sz w:val="18"/>
          <w:szCs w:val="18"/>
        </w:rPr>
        <w:t xml:space="preserve">★★★★☆</w:t>
      </w:r>
    </w:p>
    <w:p>
      <w:pPr>
        <w:spacing w:after="60" w:before="240" w:line="320"/>
        <w:jc w:val="left"/>
      </w:pPr>
      <w:r>
        <w:rPr>
          <w:rFonts w:ascii="Calibri" w:cs="Calibri" w:eastAsia="Calibri" w:hAnsi="Calibri"/>
          <w:b/>
          <w:bCs/>
          <w:color w:val="1B2B4C"/>
          <w:sz w:val="26"/>
          <w:szCs w:val="26"/>
        </w:rPr>
        <w:t xml:space="preserve">06.  Bürger-Hinweise: vom Statisch-Schau-Fenster zum echten Hessen-Mängelmelder-Spiegel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Heute zeigt Bürger-Hinweise 6 fest verdrahtete Reports. Da das Hessen-Sicherheitsportal keine offene API hat, ist die rechtssichere Lösung: localStorage-only Aggregat von Bürger-Submissions im eigenen Browser (anonym, DSGVO-trivial), kombiniert mit einem manuell gepflegten JSON-Snippet aus dem öffentlichen Hessen-Sicherheitsportal-Pressespiegel (z.B. „Letzte 30 Tage Wiesbaden: 84 Schlaglöcher gemeldet, Ø Bearbeitungszeit 8,4 Tage" — diese Zahlen werden vom Land Hessen quartalsweise veröffentlicht). Resultat: Zähler im Dashboard wird wöchentlich aktualisiert, bleibt aber als „Stand: Q2 2026" deklariert. Trust-Layer bleibt sauber.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  <w:sz w:val="18"/>
          <w:szCs w:val="18"/>
        </w:rPr>
        <w:t xml:space="preserve">Aufwand: </w:t>
      </w:r>
      <w:r>
        <w:rPr>
          <w:rFonts w:ascii="Calibri" w:cs="Calibri" w:eastAsia="Calibri" w:hAnsi="Calibri"/>
          <w:b/>
          <w:bCs/>
          <w:color w:val="1B2B4C"/>
          <w:sz w:val="18"/>
          <w:szCs w:val="18"/>
        </w:rPr>
        <w:t xml:space="preserve">0,5 Tage</w:t>
      </w:r>
      <w:r>
        <w:rPr>
          <w:rFonts w:ascii="Calibri" w:cs="Calibri" w:eastAsia="Calibri" w:hAnsi="Calibri"/>
          <w:color w:val="5C6470"/>
          <w:sz w:val="18"/>
          <w:szCs w:val="18"/>
        </w:rPr>
        <w:t xml:space="preserve">   ·   Hebel: </w:t>
      </w:r>
      <w:r>
        <w:rPr>
          <w:rFonts w:ascii="Calibri" w:cs="Calibri" w:eastAsia="Calibri" w:hAnsi="Calibri"/>
          <w:color w:val="B7873E"/>
          <w:sz w:val="18"/>
          <w:szCs w:val="18"/>
        </w:rPr>
        <w:t xml:space="preserve">★★★☆☆</w:t>
      </w:r>
    </w:p>
    <w:p>
      <w:pPr>
        <w:spacing w:after="60" w:before="240" w:line="320"/>
        <w:jc w:val="left"/>
      </w:pPr>
      <w:r>
        <w:rPr>
          <w:rFonts w:ascii="Calibri" w:cs="Calibri" w:eastAsia="Calibri" w:hAnsi="Calibri"/>
          <w:b/>
          <w:bCs/>
          <w:color w:val="1B2B4C"/>
          <w:sz w:val="26"/>
          <w:szCs w:val="26"/>
        </w:rPr>
        <w:t xml:space="preserve">07.  Citizen-Sensor-Pilot „Hitzeinsel Wiesbaden" (Modell 4 Scope-Ratio)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CurieuzeNeuzen-Vorbild ist im Mockup deklariert, aber die 3 Citizen-Science-Projekte sind Demo-Mocks. Echter Pilot: 50 Bürger:innen erhalten ein USB-Thermometer + Kalibration; sie tragen wöchentlich an 3 Standorten die Lufttemperatur ein. Daten werden via CSV-Upload (statisch, kein Backend nötig) ins Dashboard zurückgespiegelt — als Layer „Hitzeinsel". Wiesbaden hat noch keinen offenen Mikroklima-Datensatz; ein Stadt-Pilot wäre das erste deutsche Folgeprojekt nach CurieuzeNeuzen Vlaanderen. Kosten: 50× 8 € = 400 €, eine A0-Plakat im Bürgerbüro. Diesen Pilot in der Bewerbung als Vorschlag vorlegen — er macht aus dem Mockup einen Programm-Vorschlag.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  <w:sz w:val="18"/>
          <w:szCs w:val="18"/>
        </w:rPr>
        <w:t xml:space="preserve">Aufwand: </w:t>
      </w:r>
      <w:r>
        <w:rPr>
          <w:rFonts w:ascii="Calibri" w:cs="Calibri" w:eastAsia="Calibri" w:hAnsi="Calibri"/>
          <w:b/>
          <w:bCs/>
          <w:color w:val="1B2B4C"/>
          <w:sz w:val="18"/>
          <w:szCs w:val="18"/>
        </w:rPr>
        <w:t xml:space="preserve">Konzept-Tag — Umsetzung 2 Monate</w:t>
      </w:r>
      <w:r>
        <w:rPr>
          <w:rFonts w:ascii="Calibri" w:cs="Calibri" w:eastAsia="Calibri" w:hAnsi="Calibri"/>
          <w:color w:val="5C6470"/>
          <w:sz w:val="18"/>
          <w:szCs w:val="18"/>
        </w:rPr>
        <w:t xml:space="preserve">   ·   Hebel: </w:t>
      </w:r>
      <w:r>
        <w:rPr>
          <w:rFonts w:ascii="Calibri" w:cs="Calibri" w:eastAsia="Calibri" w:hAnsi="Calibri"/>
          <w:color w:val="B7873E"/>
          <w:sz w:val="18"/>
          <w:szCs w:val="18"/>
        </w:rPr>
        <w:t xml:space="preserve">★★★★☆</w:t>
      </w:r>
    </w:p>
    <w:p>
      <w:pPr>
        <w:spacing w:after="60" w:before="240" w:line="320"/>
        <w:jc w:val="left"/>
      </w:pPr>
      <w:r>
        <w:rPr>
          <w:rFonts w:ascii="Calibri" w:cs="Calibri" w:eastAsia="Calibri" w:hAnsi="Calibri"/>
          <w:b/>
          <w:bCs/>
          <w:color w:val="1B2B4C"/>
          <w:sz w:val="26"/>
          <w:szCs w:val="26"/>
        </w:rPr>
        <w:t xml:space="preserve">08.  AI-Register: vom Helsinki-Mock zum Wiesbaden-eigenen Register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Heute zeigt das AI-Register Helsinki+Berlin-Beispieleinträge. Vorschlag: 3 echte Wiesbaden-Algorithmen recherchieren und korrekt deklarieren — (1) Verkehrslicht-Steuerung B54 (vorh.); (2) WiKITA-Vergabesystem (regelbasiert, kein KI — aber Modell zeigen); (3) Ordnungsdienst-Routenplanung (vermutet — bei der Stadt anfragen). Das transformiert den Tab von Demo zu Realisierung. Selbst wenn alle 3 nicht KI sind, sondern Regelsysteme, ist der Tab dann ein erstes deutsches kommunales Algorithmus-Register und kann publiziert werden. Bewerbungs-Hebel: die einzige öffentliche Stadt mit so einem Register ist Helsinki — Wiesbaden zweite, vor Berlin.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  <w:sz w:val="18"/>
          <w:szCs w:val="18"/>
        </w:rPr>
        <w:t xml:space="preserve">Aufwand: </w:t>
      </w:r>
      <w:r>
        <w:rPr>
          <w:rFonts w:ascii="Calibri" w:cs="Calibri" w:eastAsia="Calibri" w:hAnsi="Calibri"/>
          <w:b/>
          <w:bCs/>
          <w:color w:val="1B2B4C"/>
          <w:sz w:val="18"/>
          <w:szCs w:val="18"/>
        </w:rPr>
        <w:t xml:space="preserve">1,5 Tage Recherche + 0,5 Tag Code</w:t>
      </w:r>
      <w:r>
        <w:rPr>
          <w:rFonts w:ascii="Calibri" w:cs="Calibri" w:eastAsia="Calibri" w:hAnsi="Calibri"/>
          <w:color w:val="5C6470"/>
          <w:sz w:val="18"/>
          <w:szCs w:val="18"/>
        </w:rPr>
        <w:t xml:space="preserve">   ·   Hebel: </w:t>
      </w:r>
      <w:r>
        <w:rPr>
          <w:rFonts w:ascii="Calibri" w:cs="Calibri" w:eastAsia="Calibri" w:hAnsi="Calibri"/>
          <w:color w:val="B7873E"/>
          <w:sz w:val="18"/>
          <w:szCs w:val="18"/>
        </w:rPr>
        <w:t xml:space="preserve">★★★★☆</w:t>
      </w:r>
    </w:p>
    <w:p>
      <w:pPr>
        <w:spacing w:after="60" w:before="240" w:line="320"/>
        <w:jc w:val="left"/>
      </w:pPr>
      <w:r>
        <w:rPr>
          <w:rFonts w:ascii="Calibri" w:cs="Calibri" w:eastAsia="Calibri" w:hAnsi="Calibri"/>
          <w:b/>
          <w:bCs/>
          <w:color w:val="1B2B4C"/>
          <w:sz w:val="26"/>
          <w:szCs w:val="26"/>
        </w:rPr>
        <w:t xml:space="preserve">09.  Datenkatalog-Browser: BM25 + Vector-Embedding-Hybrid (BITV-Innovation)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Aktuell: Fuse.js BM25 über 232 Datensätze. Erweiterung: (a) Pre-computed Embeddings (E5-small auf Hugging Face, 30 MB) für jede Datensatz-Beschreibung — laden lazy beim ersten Suche-Klick; (b) Hybrid-Score = 0,6×BM25 + 0,4×CosineSim. Das findet semantische Treffer („Familien" → matcht „Kita-Versorgung", „Schulen", „Geburtenrate" — Wörter, die nirgends im Title stehen). Bleibt 100% client-seitig (no LLM, no server, kein Datenleck), bleibt deterministisch (Algorithmus-Karte gilt weiter). Cache 30 MB ist OK für ein einmaliges Lazy-Load. Wäre das erste deutsche kommunale Daten-Such-Tool mit Embedding-Hybrid.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  <w:sz w:val="18"/>
          <w:szCs w:val="18"/>
        </w:rPr>
        <w:t xml:space="preserve">Aufwand: </w:t>
      </w:r>
      <w:r>
        <w:rPr>
          <w:rFonts w:ascii="Calibri" w:cs="Calibri" w:eastAsia="Calibri" w:hAnsi="Calibri"/>
          <w:b/>
          <w:bCs/>
          <w:color w:val="1B2B4C"/>
          <w:sz w:val="18"/>
          <w:szCs w:val="18"/>
        </w:rPr>
        <w:t xml:space="preserve">2 Tage</w:t>
      </w:r>
      <w:r>
        <w:rPr>
          <w:rFonts w:ascii="Calibri" w:cs="Calibri" w:eastAsia="Calibri" w:hAnsi="Calibri"/>
          <w:color w:val="5C6470"/>
          <w:sz w:val="18"/>
          <w:szCs w:val="18"/>
        </w:rPr>
        <w:t xml:space="preserve">   ·   Hebel: </w:t>
      </w:r>
      <w:r>
        <w:rPr>
          <w:rFonts w:ascii="Calibri" w:cs="Calibri" w:eastAsia="Calibri" w:hAnsi="Calibri"/>
          <w:color w:val="B7873E"/>
          <w:sz w:val="18"/>
          <w:szCs w:val="18"/>
        </w:rPr>
        <w:t xml:space="preserve">★★★☆☆</w:t>
      </w:r>
    </w:p>
    <w:p>
      <w:pPr>
        <w:spacing w:after="60" w:before="240" w:line="320"/>
        <w:jc w:val="left"/>
      </w:pPr>
      <w:r>
        <w:rPr>
          <w:rFonts w:ascii="Calibri" w:cs="Calibri" w:eastAsia="Calibri" w:hAnsi="Calibri"/>
          <w:b/>
          <w:bCs/>
          <w:color w:val="1B2B4C"/>
          <w:sz w:val="26"/>
          <w:szCs w:val="26"/>
        </w:rPr>
        <w:t xml:space="preserve">10.  „Stand der Stadt 2026"-Snapshot-Export (Trust-Layer Multiplikator)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Ein Knopf am Footer: „Diesen Stand als PDF exportieren". Nutzt html2canvas + jsPDF (kostenlose CDN-Libs), generiert ein 4-seitiges PDF mit aktuellem KPI-Stand, gewähltem Bezirk, ausgewählten Stories, allen Quellenangaben in Fußnoten. Das ist der editoriale Trick: Bürger:innen, Lehrer:innen, Beiratsmitglieder können den Lagebild-Stand als Beweisstück mitnehmen und in Sitzungen verwenden. Macht das Dashboard zur zitierbaren Quelle (im selben Sinn wie das BMWK-Konjunktur-Bulletin oder Destatis-Atlas-Snapshots). Einfach im Build, riesiger Long-Tail-Wert.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  <w:sz w:val="18"/>
          <w:szCs w:val="18"/>
        </w:rPr>
        <w:t xml:space="preserve">Aufwand: </w:t>
      </w:r>
      <w:r>
        <w:rPr>
          <w:rFonts w:ascii="Calibri" w:cs="Calibri" w:eastAsia="Calibri" w:hAnsi="Calibri"/>
          <w:b/>
          <w:bCs/>
          <w:color w:val="1B2B4C"/>
          <w:sz w:val="18"/>
          <w:szCs w:val="18"/>
        </w:rPr>
        <w:t xml:space="preserve">1 Tag</w:t>
      </w:r>
      <w:r>
        <w:rPr>
          <w:rFonts w:ascii="Calibri" w:cs="Calibri" w:eastAsia="Calibri" w:hAnsi="Calibri"/>
          <w:color w:val="5C6470"/>
          <w:sz w:val="18"/>
          <w:szCs w:val="18"/>
        </w:rPr>
        <w:t xml:space="preserve">   ·   Hebel: </w:t>
      </w:r>
      <w:r>
        <w:rPr>
          <w:rFonts w:ascii="Calibri" w:cs="Calibri" w:eastAsia="Calibri" w:hAnsi="Calibri"/>
          <w:color w:val="B7873E"/>
          <w:sz w:val="18"/>
          <w:szCs w:val="18"/>
        </w:rPr>
        <w:t xml:space="preserve">★★★☆☆</w:t>
      </w:r>
    </w:p>
    <w:p>
      <w:pPr>
        <w:pStyle w:val="Heading1"/>
        <w:spacing w:after="120" w:before="480"/>
      </w:pPr>
      <w:r>
        <w:rPr>
          <w:rFonts w:ascii="Calibri" w:cs="Calibri" w:eastAsia="Calibri" w:hAnsi="Calibri"/>
          <w:b/>
          <w:bCs/>
          <w:color w:val="1B2B4C"/>
          <w:sz w:val="40"/>
          <w:szCs w:val="40"/>
        </w:rPr>
        <w:t xml:space="preserve">7. Tonalitäts-Balance — wiesbaden.de + neues wiesbadenwirkt.de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</w:rPr>
        <w:t xml:space="preserve">Die Stadt hat im Mai 2025 wiesbadenwirkt.de als neues Beteiligungsportal gelauncht (ersetzt dein.wiesbaden.de). Visual: hellgrau, marigold-Akzent, große Headlines, mobile-first, Karten-Layouts. Das v2.5-Lagebild sitzt damit zwischen zwei Spannungsfeldern: gegenüber wiesbaden.de muss es offizieller wirken (als Stadt-Atlas), gegenüber wiesbadenwirkt.de innovativer (als Bürger-Werkzeug). Ich empfehle vier konkrete Tone-Adjustments: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Top-Hero stärker positionieren</w:t>
      </w:r>
      <w:r>
        <w:rPr>
          <w:rFonts w:ascii="Calibri" w:cs="Calibri" w:eastAsia="Calibri" w:hAnsi="Calibri"/>
          <w:sz w:val="22"/>
          <w:szCs w:val="22"/>
        </w:rPr>
        <w:t xml:space="preserve"> — anstelle der „Echtzeit-Daten der Landeshauptstadt"-Zeile einen aktuellen Headline-Quote aus den Stories („Heßloch wählte 2026 mit 73%, Amöneburg mit 28%") rotieren. Zeit-aktuell, redaktionell, weniger Atlas-mässig.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wiesbadenwirkt.de-CTA expliziter</w:t>
      </w:r>
      <w:r>
        <w:rPr>
          <w:rFonts w:ascii="Calibri" w:cs="Calibri" w:eastAsia="Calibri" w:hAnsi="Calibri"/>
          <w:sz w:val="22"/>
          <w:szCs w:val="22"/>
        </w:rPr>
        <w:t xml:space="preserve"> — Mitmachen-Tab führt heute zu Mängelmelder/Datenwunsch/Spritpreis/Citizen-Science. Ergänzen: prominente Karte „Aktuelle Beteiligungen auf wiesbadenwirkt.de" mit den 2–3 aktiven Verfahren — direktes Echo des Stadt-Portals, ohne dessen Funktion zu duplizieren.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Footer-Sektion „Daten &amp; Methodik" als eigene Seite</w:t>
      </w:r>
      <w:r>
        <w:rPr>
          <w:rFonts w:ascii="Calibri" w:cs="Calibri" w:eastAsia="Calibri" w:hAnsi="Calibri"/>
          <w:sz w:val="22"/>
          <w:szCs w:val="22"/>
        </w:rPr>
        <w:t xml:space="preserve"> — heute im Footer eingequetscht. Auf eigene Seite („Über dieses Lagebild") rüber, mit Link zum Open-Data-Repository (GitHub). Erhöht akademische Zitierfähigkeit.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Farbpalette an Stadt-Branding leicht annähern</w:t>
      </w:r>
      <w:r>
        <w:rPr>
          <w:rFonts w:ascii="Calibri" w:cs="Calibri" w:eastAsia="Calibri" w:hAnsi="Calibri"/>
          <w:sz w:val="22"/>
          <w:szCs w:val="22"/>
        </w:rPr>
        <w:t xml:space="preserve"> — Stadt nutzt grünes Wappen + marigold (#B7873E ähnlich). Aktuelle Navy-dominante Palette beibehalten, aber 1–2 Akzent-Highlights (z.B. Story-Card-Top-Border) auf Wappen-Grün setzen. Subtle, signalisiert Verwaltungs-Verwandtschaft.</w:t>
      </w:r>
    </w:p>
    <w:p>
      <w:pPr>
        <w:pStyle w:val="Heading1"/>
        <w:spacing w:after="120" w:before="480"/>
      </w:pPr>
      <w:r>
        <w:rPr>
          <w:rFonts w:ascii="Calibri" w:cs="Calibri" w:eastAsia="Calibri" w:hAnsi="Calibri"/>
          <w:b/>
          <w:bCs/>
          <w:color w:val="1B2B4C"/>
          <w:sz w:val="40"/>
          <w:szCs w:val="40"/>
        </w:rPr>
        <w:t xml:space="preserve">8. Roadmap — 48 h / 1 Sprint / 1 Quartal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460"/>
        <w:gridCol w:w="2000"/>
      </w:tblGrid>
      <w:tr>
        <w:trPr>
          <w:tblHeader/>
        </w:trPr>
        <w:tc>
          <w:tcPr>
            <w:tcW w:type="dxa" w:w="1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B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Zeitfenster</w:t>
            </w:r>
          </w:p>
        </w:tc>
        <w:tc>
          <w:tcPr>
            <w:tcW w:type="dxa" w:w="5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B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Maßnahmen</w:t>
            </w:r>
          </w:p>
        </w:tc>
        <w:tc>
          <w:tcPr>
            <w:tcW w:type="dxa" w:w="2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B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48 Stunden</w:t>
            </w:r>
          </w:p>
        </w:tc>
        <w:tc>
          <w:tcPr>
            <w:tcW w:type="dxa" w:w="5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Ideation #2 (UBA-API live) + #6 (Bürger-Hinweise dynamisch) + KPI-Header bei Air auf v2.6 ändern</w:t>
            </w:r>
          </w:p>
        </w:tc>
        <w:tc>
          <w:tcPr>
            <w:tcW w:type="dxa" w:w="2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 PR, 1 sichtbare Echtzeit-KPI, 1 dynamische Hinweise-Box</w:t>
            </w:r>
          </w:p>
        </w:tc>
      </w:tr>
      <w:tr>
        <w:tc>
          <w:tcPr>
            <w:tcW w:type="dxa" w:w="1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 Sprint (2 Wochen)</w:t>
            </w:r>
          </w:p>
        </w:tc>
        <w:tc>
          <w:tcPr>
            <w:tcW w:type="dxa" w:w="5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Ideation #1 (Action-Box) + #3 (Tankerkönig) + #4 (Stories 5–10) + #5 (Mein-Bezirk-Verdrahtung) + #10 (PDF-Export)</w:t>
            </w:r>
          </w:p>
        </w:tc>
        <w:tc>
          <w:tcPr>
            <w:tcW w:type="dxa" w:w="2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Mock-frei, 10 Stories, Bezirks-Wiring, Snapshot-PDF</w:t>
            </w:r>
          </w:p>
        </w:tc>
      </w:tr>
      <w:tr>
        <w:tc>
          <w:tcPr>
            <w:tcW w:type="dxa" w:w="1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 Quartal (3 Monate)</w:t>
            </w:r>
          </w:p>
        </w:tc>
        <w:tc>
          <w:tcPr>
            <w:tcW w:type="dxa" w:w="54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Ideation #7 (Hitzeinsel-Pilot) + #8 (AI-Register echt) + #9 (Embedding-Hybrid) + Tonalitäts-Adjustments aus §7</w:t>
            </w:r>
          </w:p>
        </w:tc>
        <w:tc>
          <w:tcPr>
            <w:tcW w:type="dxa" w:w="2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Pilot-Programm-Vorschlag, deutschlandweit erstes kommunales AI-Register, semantische Datenkatalog-Suche</w:t>
            </w:r>
          </w:p>
        </w:tc>
      </w:tr>
    </w:tbl>
    <w:p>
      <w:pPr>
        <w:pStyle w:val="Heading1"/>
        <w:spacing w:after="120" w:before="480"/>
      </w:pPr>
      <w:r>
        <w:rPr>
          <w:rFonts w:ascii="Calibri" w:cs="Calibri" w:eastAsia="Calibri" w:hAnsi="Calibri"/>
          <w:b/>
          <w:bCs/>
          <w:color w:val="1B2B4C"/>
          <w:sz w:val="40"/>
          <w:szCs w:val="40"/>
        </w:rPr>
        <w:t xml:space="preserve">9. Risiken &amp; Guardrails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Calibri" w:cs="Calibri" w:eastAsia="Calibri" w:hAnsi="Calibri"/>
          <w:b/>
          <w:bCs/>
          <w:color w:val="B7873E"/>
          <w:sz w:val="22"/>
          <w:szCs w:val="22"/>
        </w:rPr>
        <w:t xml:space="preserve">DSGVO-Drift</w:t>
      </w:r>
      <w:r>
        <w:rPr>
          <w:rFonts w:ascii="Calibri" w:cs="Calibri" w:eastAsia="Calibri" w:hAnsi="Calibri"/>
          <w:sz w:val="22"/>
          <w:szCs w:val="22"/>
        </w:rPr>
        <w:t xml:space="preserve">: jeder Citizen-Sensor und Crowd-Aufruf bleibt strikt browser-lokal (localStorage). Server-Aggregation nur, wenn (a) keine personenbezogenen Daten, (b) explizite Stadt-Beauftragung, (c) AVV-Vertrag mit Vercel/Cloudflare.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Calibri" w:cs="Calibri" w:eastAsia="Calibri" w:hAnsi="Calibri"/>
          <w:b/>
          <w:bCs/>
          <w:color w:val="B7873E"/>
          <w:sz w:val="22"/>
          <w:szCs w:val="22"/>
        </w:rPr>
        <w:t xml:space="preserve">Mock-Badge-Disziplin</w:t>
      </w:r>
      <w:r>
        <w:rPr>
          <w:rFonts w:ascii="Calibri" w:cs="Calibri" w:eastAsia="Calibri" w:hAnsi="Calibri"/>
          <w:sz w:val="22"/>
          <w:szCs w:val="22"/>
        </w:rPr>
        <w:t xml:space="preserve">: jede neu eingeführte Live-Quelle entfernt automatisch den Mock-Badge. Aber sobald eine Quelle länger als 24 h offline ist, muss das Frontend automatisch auf den letzten gecachten Stand zurückfallen UND einen „Stand: vor 36 h"-Stempel zeigen — kein stilles Mock!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Calibri" w:cs="Calibri" w:eastAsia="Calibri" w:hAnsi="Calibri"/>
          <w:b/>
          <w:bCs/>
          <w:color w:val="B7873E"/>
          <w:sz w:val="22"/>
          <w:szCs w:val="22"/>
        </w:rPr>
        <w:t xml:space="preserve">API-Rate-Limits</w:t>
      </w:r>
      <w:r>
        <w:rPr>
          <w:rFonts w:ascii="Calibri" w:cs="Calibri" w:eastAsia="Calibri" w:hAnsi="Calibri"/>
          <w:sz w:val="22"/>
          <w:szCs w:val="22"/>
        </w:rPr>
        <w:t xml:space="preserve">: Tankerkönig 5 min, UBA 15 min, Piveau ungetestet — alle Caches conservative auf 30 min. Bei Vercel-Edge: ISR (revalidate=1800).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Calibri" w:cs="Calibri" w:eastAsia="Calibri" w:hAnsi="Calibri"/>
          <w:b/>
          <w:bCs/>
          <w:color w:val="B7873E"/>
          <w:sz w:val="22"/>
          <w:szCs w:val="22"/>
        </w:rPr>
        <w:t xml:space="preserve">Bewerbungs-Risiko</w:t>
      </w:r>
      <w:r>
        <w:rPr>
          <w:rFonts w:ascii="Calibri" w:cs="Calibri" w:eastAsia="Calibri" w:hAnsi="Calibri"/>
          <w:sz w:val="22"/>
          <w:szCs w:val="22"/>
        </w:rPr>
        <w:t xml:space="preserve">: je mehr live-Daten, desto fragiler die Demo. Für Vorstellung empfehle ich Tag-Vorher-Snapshot via build_v2.sh, der alle Live-Werte zum Zeitpunkt einfriert. Live-Demo nur, wenn Wifi sicher.</w:t>
      </w:r>
    </w:p>
    <w:p>
      <w:pPr>
        <w:pStyle w:val="Heading1"/>
        <w:spacing w:after="120" w:before="480"/>
      </w:pPr>
      <w:r>
        <w:rPr>
          <w:rFonts w:ascii="Calibri" w:cs="Calibri" w:eastAsia="Calibri" w:hAnsi="Calibri"/>
          <w:b/>
          <w:bCs/>
          <w:color w:val="1B2B4C"/>
          <w:sz w:val="40"/>
          <w:szCs w:val="40"/>
        </w:rPr>
        <w:t xml:space="preserve">10. Anhang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2B4C"/>
          <w:sz w:val="30"/>
          <w:szCs w:val="30"/>
        </w:rPr>
        <w:t xml:space="preserve">10.1  Konkrete Endpunkte (für sofortige Anbindung)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  <w:sz w:val="18"/>
          <w:szCs w:val="18"/>
        </w:rPr>
        <w:t xml:space="preserve">UBA Luftqualität v4 — luftdaten.umweltbundesamt.de/api/air-data/v4/measure?date_from=2026-04-26&amp;date_to=2026-05-04&amp;time_from=24&amp;time_to=24&amp;station=DEHE039&amp;component=NO2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  <w:sz w:val="18"/>
          <w:szCs w:val="18"/>
        </w:rPr>
        <w:t xml:space="preserve">Tankerkönig — creativecommons.tankerkoenig.de/json/list.php?lat=50.0782&amp;lng=8.2398&amp;rad=10&amp;type=all&amp;sort=dist&amp;apikey=YOUR_KEY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  <w:sz w:val="18"/>
          <w:szCs w:val="18"/>
        </w:rPr>
        <w:t xml:space="preserve">Wiesbaden Piveau — opendata.cloud.wiesbaden.de/api/3/action/package_search?fq=organization:landeshauptstadt-wiesbaden&amp;rows=500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  <w:sz w:val="18"/>
          <w:szCs w:val="18"/>
        </w:rPr>
        <w:t xml:space="preserve">Destatis Genesis — www-genesis.destatis.de/genesisWS/rest/2020/data/table?username=USR&amp;password=PWD&amp;name=61111-0004&amp;format=json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  <w:sz w:val="18"/>
          <w:szCs w:val="18"/>
        </w:rPr>
        <w:t xml:space="preserve">MaStR — marktstammdatenregister.de/MaStR/Datendownload (Voll-CSV monatlich, ~2 GB; alternativ REST-Filter auf Wiesbaden-PLZ 65xxx)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2B4C"/>
          <w:sz w:val="30"/>
          <w:szCs w:val="30"/>
        </w:rPr>
        <w:t xml:space="preserve">10.2  Code-Pointer im aktuellen Repository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  <w:sz w:val="18"/>
          <w:szCs w:val="18"/>
        </w:rPr>
        <w:t xml:space="preserve">data.js Z. 815 — FUEL_STATIONS (Mock — durch Tankerkönig-Edge-Function ersetzen)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  <w:sz w:val="18"/>
          <w:szCs w:val="18"/>
        </w:rPr>
        <w:t xml:space="preserve">data.js Z. 133 — LIVE_KPI (8 statische Werte — durch fetch-on-init mit Cache ersetzen)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  <w:sz w:val="18"/>
          <w:szCs w:val="18"/>
        </w:rPr>
        <w:t xml:space="preserve">data.js Z. 950 — AI_REGISTER (Mock — durch echte Wiesbaden-Algorithmen ersetzen)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  <w:sz w:val="18"/>
          <w:szCs w:val="18"/>
        </w:rPr>
        <w:t xml:space="preserve">data.js Z. 870 — CITIZEN_SCIENCE (Mock-Demo — Hitzeinsel-Pilot vorschlagen)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  <w:sz w:val="18"/>
          <w:szCs w:val="18"/>
        </w:rPr>
        <w:t xml:space="preserve">data.js Z. 1731 — STORIES (4 echt — auf 10 erweitern)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  <w:sz w:val="18"/>
          <w:szCs w:val="18"/>
        </w:rPr>
        <w:t xml:space="preserve">app.js Z. 786 — Hinweis-Modal (mailto/Hessen-Routing — bestehend halten, lokales Aggregat erweitern)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  <w:sz w:val="18"/>
          <w:szCs w:val="18"/>
        </w:rPr>
        <w:t xml:space="preserve">app.js Z. 247 — initMap() (gut — keine Änderung nötig)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  <w:sz w:val="18"/>
          <w:szCs w:val="18"/>
        </w:rPr>
        <w:t xml:space="preserve">app.js Z. 460 — showDetail() (Action-Box: Regel-Engine einsetzen, Ideation #1)</w:t>
      </w:r>
    </w:p>
    <w:p>
      <w:pPr>
        <w:pStyle w:val="Heading1"/>
        <w:spacing w:after="120" w:before="480"/>
      </w:pPr>
      <w:r>
        <w:rPr>
          <w:rFonts w:ascii="Calibri" w:cs="Calibri" w:eastAsia="Calibri" w:hAnsi="Calibri"/>
          <w:b/>
          <w:bCs/>
          <w:color w:val="1B2B4C"/>
          <w:sz w:val="40"/>
          <w:szCs w:val="40"/>
        </w:rPr>
        <w:t xml:space="preserve">11. Update vom 2026-05-04 — Piveau-OpenAPI-Spezifikation analysiert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7A6B" w:sz="4"/>
              <w:left w:val="single" w:color="5B7A6B" w:sz="24"/>
              <w:bottom w:val="single" w:color="5B7A6B" w:sz="4"/>
              <w:right w:val="single" w:color="5B7A6B" w:sz="4"/>
            </w:tcBorders>
            <w:shd w:fill="F4F6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7A6B"/>
                <w:sz w:val="20"/>
                <w:szCs w:val="20"/>
              </w:rPr>
              <w:t xml:space="preserve">GAME-CHANGER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Die Piveau-Spezifikationen (hub-search v5.3.2 + hub-repo v3.4.8) bestätigen: opendata.cloud.wiesbaden.de bietet einen vollwertigen REST-Endpunkt mit Volltextsuche, Facetten, Bounding-Box-Filter, Atom-Feeds und Cursor-Pagination. Damit fallen mehrere Auswege weg, die ich oben als Workarounds skizziert hatte — die Live-Anbindung ist sauberer möglich als gedacht.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2B4C"/>
          <w:sz w:val="30"/>
          <w:szCs w:val="30"/>
        </w:rPr>
        <w:t xml:space="preserve">11.1  Schlüsselendpunkte für unser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B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Endpunkt</w:t>
            </w:r>
          </w:p>
        </w:tc>
        <w:tc>
          <w:tcPr>
            <w:tcW w:type="dxa" w:w="58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B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Wofür im Lagebild?</w:t>
            </w:r>
          </w:p>
        </w:tc>
      </w:tr>
      <w:tr>
        <w:tc>
          <w:tcPr>
            <w:tcW w:type="dxa" w:w="35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/search?q=...&amp;filters=dataset</w:t>
            </w:r>
          </w:p>
        </w:tc>
        <w:tc>
          <w:tcPr>
            <w:tcW w:type="dxa" w:w="58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Datenassistent (Drawer, Z. 1031 in index.html) — komplett live ersetzbar, lokales Fuse.js wird optional</w:t>
            </w:r>
          </w:p>
        </w:tc>
      </w:tr>
      <w:tr>
        <w:tc>
          <w:tcPr>
            <w:tcW w:type="dxa" w:w="35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/search?facets={"theme":["TRAN"]}</w:t>
            </w:r>
          </w:p>
        </w:tc>
        <w:tc>
          <w:tcPr>
            <w:tcW w:type="dxa" w:w="58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Daten-Tab Themen-Chips — Live-Counter statt Snapshot-Aggregation</w:t>
            </w:r>
          </w:p>
        </w:tc>
      </w:tr>
      <w:tr>
        <w:tc>
          <w:tcPr>
            <w:tcW w:type="dxa" w:w="35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/search?bboxMinLat=50&amp;...&amp;bboxMaxLon=8.5</w:t>
            </w:r>
          </w:p>
        </w:tc>
        <w:tc>
          <w:tcPr>
            <w:tcW w:type="dxa" w:w="58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Räumliche Filter — z.B. nur Datensätze, deren räumlicher Bezug Wiesbaden ist</w:t>
            </w:r>
          </w:p>
        </w:tc>
      </w:tr>
      <w:tr>
        <w:tc>
          <w:tcPr>
            <w:tcW w:type="dxa" w:w="35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/search?minDate=2026-04-01&amp;dateType=modified</w:t>
            </w:r>
          </w:p>
        </w:tc>
        <w:tc>
          <w:tcPr>
            <w:tcW w:type="dxa" w:w="58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„Neu im Katalog"-Block für Übersicht-View — Was die Stadt diese Woche veröffentlicht hat</w:t>
            </w:r>
          </w:p>
        </w:tc>
      </w:tr>
      <w:tr>
        <w:tc>
          <w:tcPr>
            <w:tcW w:type="dxa" w:w="35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/scroll?scrollId=...</w:t>
            </w:r>
          </w:p>
        </w:tc>
        <w:tc>
          <w:tcPr>
            <w:tcW w:type="dxa" w:w="58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Vollständige Iteration über alle 232 Datensätze beim Build</w:t>
            </w:r>
          </w:p>
        </w:tc>
      </w:tr>
      <w:tr>
        <w:tc>
          <w:tcPr>
            <w:tcW w:type="dxa" w:w="35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/{lang}/feeds/datasets.atom?q=wiesbaden</w:t>
            </w:r>
          </w:p>
        </w:tc>
        <w:tc>
          <w:tcPr>
            <w:tcW w:type="dxa" w:w="58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RSS-Style-Feed in 26 EU-Sprachen — Bürger können Updates abonnieren</w:t>
            </w:r>
          </w:p>
        </w:tc>
      </w:tr>
      <w:tr>
        <w:tc>
          <w:tcPr>
            <w:tcW w:type="dxa" w:w="35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/catalogues/{id}</w:t>
            </w:r>
          </w:p>
        </w:tc>
        <w:tc>
          <w:tcPr>
            <w:tcW w:type="dxa" w:w="58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Vollmetadaten eines Katalogs (DCAT-AP, RDF/Turtle/JSON-LD)</w:t>
            </w:r>
          </w:p>
        </w:tc>
      </w:tr>
      <w:tr>
        <w:tc>
          <w:tcPr>
            <w:tcW w:type="dxa" w:w="35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/catalogues/{id}/datasets</w:t>
            </w:r>
          </w:p>
        </w:tc>
        <w:tc>
          <w:tcPr>
            <w:tcW w:type="dxa" w:w="58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Alle Datensätze des Wiesbadener Katalogs — DCAT-Datasets</w:t>
            </w:r>
          </w:p>
        </w:tc>
      </w:tr>
      <w:tr>
        <w:tc>
          <w:tcPr>
            <w:tcW w:type="dxa" w:w="35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/datasets/{id}</w:t>
            </w:r>
          </w:p>
        </w:tc>
        <w:tc>
          <w:tcPr>
            <w:tcW w:type="dxa" w:w="58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Einzelner Datensatz inkl. Distributionen + Lizenz + Frequenz</w:t>
            </w:r>
          </w:p>
        </w:tc>
      </w:tr>
      <w:tr>
        <w:tc>
          <w:tcPr>
            <w:tcW w:type="dxa" w:w="35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/search (JSON-Body)</w:t>
            </w:r>
          </w:p>
        </w:tc>
        <w:tc>
          <w:tcPr>
            <w:tcW w:type="dxa" w:w="586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7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Komplexe Queries (boost.title, multi-filter) — für Stories-Editor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2B4C"/>
          <w:sz w:val="30"/>
          <w:szCs w:val="30"/>
        </w:rPr>
        <w:t xml:space="preserve">11.2  Konkrete Code-Änderungen, die jetzt möglich sind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Datenassistent: Live-Modus + Offline-Fallback. </w:t>
      </w:r>
      <w:r>
        <w:rPr>
          <w:rFonts w:ascii="Calibri" w:cs="Calibri" w:eastAsia="Calibri" w:hAnsi="Calibri"/>
          <w:sz w:val="22"/>
          <w:szCs w:val="22"/>
        </w:rPr>
        <w:t xml:space="preserve">Heute lädt Fuse.js den 232-Datensatz-Cache. Mit Piveau-Search kann das Drawer einen 300-ms-debounced fetch('/search?q=...&amp;filters=dataset&amp;facets={"catalog":["wiesbaden"]}&amp;limit=20') machen. Bei Netz-Fehler fällt es auf den lokalen Cache zurück. Algorithmus-Karte muss um „bei Online: BM25-Server-side, bei Offline: BM25-client-side" erweitert werden — Trust-Layer bleibt sauber.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„Neu im Katalog"-Banner. </w:t>
      </w:r>
      <w:r>
        <w:rPr>
          <w:rFonts w:ascii="Calibri" w:cs="Calibri" w:eastAsia="Calibri" w:hAnsi="Calibri"/>
          <w:sz w:val="22"/>
          <w:szCs w:val="22"/>
        </w:rPr>
        <w:t xml:space="preserve">Auf der Übersicht oben: kleines Banner „Diese Woche neu von der Stadt: 4 Datensätze" mit fetch('/search?minDate=' + sevenDaysAgo + '&amp;dateType=modified&amp;filters=dataset&amp;limit=5'). Klick öffnet das Daten-Tab vorgefiltert. Verbindet Übersicht ↔ Daten-Tab in einer einzigen Linie — Modell-8-Verdrahtung.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Bounding-Box-Filter für Wiesbaden-Only. </w:t>
      </w:r>
      <w:r>
        <w:rPr>
          <w:rFonts w:ascii="Calibri" w:cs="Calibri" w:eastAsia="Calibri" w:hAnsi="Calibri"/>
          <w:sz w:val="22"/>
          <w:szCs w:val="22"/>
        </w:rPr>
        <w:t xml:space="preserve">Piveau-Suche via bboxMinLat=50.00&amp;bboxMaxLat=50.14&amp;bboxMinLon=8.15&amp;bboxMaxLon=8.41 holt nur Datensätze mit räumlichem Bezug zu Wiesbaden. Erlaubt sauberes Filtern zwischen „Wiesbaden"-Daten und „Hessen-/Bundes-Daten, die Wiesbaden mit-betreffen".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Atom-Feed-Subscribe. </w:t>
      </w:r>
      <w:r>
        <w:rPr>
          <w:rFonts w:ascii="Calibri" w:cs="Calibri" w:eastAsia="Calibri" w:hAnsi="Calibri"/>
          <w:sz w:val="22"/>
          <w:szCs w:val="22"/>
        </w:rPr>
        <w:t xml:space="preserve">Daten-Tab unten: „Neue Datensätze als RSS abonnieren" mit Link zu /de/feeds/datasets.atom?q=wiesbaden. Bürger:innen können Datenaktualität in ihren Feedreader integrieren — extrem rare Funktion in deutschen Stadt-Portalen, kostet 30 Sekunden Implementierung.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DCAT-AP-konforme Distribution-Links. </w:t>
      </w:r>
      <w:r>
        <w:rPr>
          <w:rFonts w:ascii="Calibri" w:cs="Calibri" w:eastAsia="Calibri" w:hAnsi="Calibri"/>
          <w:sz w:val="22"/>
          <w:szCs w:val="22"/>
        </w:rPr>
        <w:t xml:space="preserve">Jeder Datensatz hat Distributionen mit accessURL/downloadURL. Heute zeigt unser Catalog Browser nur den landingPage. Mit Piveau-Detail-Fetch könnten wir direkt zu CSV/JSON springen („Direktdownload"-Button neben „Quelle ansehen"). Das macht das Daten-Tab vom passiven Verzeichnis zu aktiver Datensatz-Werkbank.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2B4C"/>
          <w:sz w:val="30"/>
          <w:szCs w:val="30"/>
        </w:rPr>
        <w:t xml:space="preserve">11.3  Auswirkung auf die 10 Ideations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5C6470"/>
        </w:rPr>
        <w:t xml:space="preserve">Ideation #4 (Stories 5–10): wird </w:t>
      </w:r>
      <w:r>
        <w:rPr>
          <w:rFonts w:ascii="Calibri" w:cs="Calibri" w:eastAsia="Calibri" w:hAnsi="Calibri"/>
          <w:b/>
          <w:bCs/>
          <w:color w:val="5B7A6B"/>
        </w:rPr>
        <w:t xml:space="preserve">deutlich einfacher</w:t>
      </w:r>
      <w:r>
        <w:rPr>
          <w:rFonts w:ascii="Calibri" w:cs="Calibri" w:eastAsia="Calibri" w:hAnsi="Calibri"/>
          <w:color w:val="5C6470"/>
        </w:rPr>
        <w:t xml:space="preserve"> — Story-Quelldaten via /datasets/{id} live nachladen, Quellenlinks nicht mehr hardcoded. Ideation #9 (Embedding-Hybrid): wird </w:t>
      </w:r>
      <w:r>
        <w:rPr>
          <w:rFonts w:ascii="Calibri" w:cs="Calibri" w:eastAsia="Calibri" w:hAnsi="Calibri"/>
          <w:b/>
          <w:bCs/>
          <w:color w:val="5B7A6B"/>
        </w:rPr>
        <w:t xml:space="preserve">optional</w:t>
      </w:r>
      <w:r>
        <w:rPr>
          <w:rFonts w:ascii="Calibri" w:cs="Calibri" w:eastAsia="Calibri" w:hAnsi="Calibri"/>
          <w:color w:val="5C6470"/>
        </w:rPr>
        <w:t xml:space="preserve"> — Piveau-server-side BM25 ist meist gut genug, Embedding nur als Layer für Cross-DCAT-Themen-Match. Ideation #2 (UBA Live): unverändert, da UBA nicht in Piveau ist. Ideation #3 (Tankerkönig): unverändert. Ideation #1 (Action-Box): nicht betroffen.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7A6B" w:sz="4"/>
              <w:left w:val="single" w:color="5B7A6B" w:sz="24"/>
              <w:bottom w:val="single" w:color="5B7A6B" w:sz="4"/>
              <w:right w:val="single" w:color="5B7A6B" w:sz="4"/>
            </w:tcBorders>
            <w:shd w:fill="F4F6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7A6B"/>
                <w:sz w:val="20"/>
                <w:szCs w:val="20"/>
              </w:rPr>
              <w:t xml:space="preserve">NEUE IDEATION (Bonus #11)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Datenkatalog-Browser im „Living Mode". Wenn Piveau-Search-Endpunkt erreichbar ist, schaltet das Daten-Tab automatisch in den Living Mode (Live-Search, Live-Counter, Live-Atom-Feed-Banner) und zeigt einen kleinen grünen Live-Stempel. Bei Verbindungsabbruch (oder Build-Snapshot/Offline-Demo) zeigt es weiterhin den eingebauten 232-Datensatz-Cache mit Stand-Stempel. Das ist keine zusätzliche Komplexität — beide Modi teilen denselben Renderer, nur die Datenquelle ist umstellbar. Hebel: ★★★★ (entkoppelt das Mockup vom statischen Snapshot-Charakter, ohne die Demo-Festigkeit zu opfern). Aufwand: 1 Tag.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2B4C"/>
          <w:sz w:val="30"/>
          <w:szCs w:val="30"/>
        </w:rPr>
        <w:t xml:space="preserve">10.3  Quellen &amp; Links</w:t>
      </w:r>
    </w:p>
    <w:p>
      <w:pPr>
        <w:spacing w:after="60" w:before="60"/>
      </w:pPr>
      <w:r>
        <w:rPr>
          <w:rFonts w:ascii="Calibri" w:cs="Calibri" w:eastAsia="Calibri" w:hAnsi="Calibri"/>
          <w:sz w:val="18"/>
          <w:szCs w:val="18"/>
        </w:rPr>
        <w:t xml:space="preserve">Wiesbaden Open Data Portal — </w:t>
      </w:r>
      <w:hyperlink w:history="1" r:id="rIdeqs8-6p-8njdr_u6ggykc">
        <w:r>
          <w:rPr>
            <w:rFonts w:ascii="Calibri" w:cs="Calibri" w:eastAsia="Calibri" w:hAnsi="Calibri"/>
            <w:color w:val="4A6FA5"/>
            <w:sz w:val="18"/>
            <w:szCs w:val="18"/>
          </w:rPr>
          <w:t xml:space="preserve">opendata.cloud.wiesbaden.de</w:t>
        </w:r>
      </w:hyperlink>
    </w:p>
    <w:p>
      <w:pPr>
        <w:spacing w:after="60" w:before="60"/>
      </w:pPr>
      <w:r>
        <w:rPr>
          <w:rFonts w:ascii="Calibri" w:cs="Calibri" w:eastAsia="Calibri" w:hAnsi="Calibri"/>
          <w:sz w:val="18"/>
          <w:szCs w:val="18"/>
        </w:rPr>
        <w:t xml:space="preserve">UBA Luftqualität API v4 — </w:t>
      </w:r>
      <w:hyperlink w:history="1" r:id="rIdyv3axwerupiihsy-kvgkt">
        <w:r>
          <w:rPr>
            <w:rFonts w:ascii="Calibri" w:cs="Calibri" w:eastAsia="Calibri" w:hAnsi="Calibri"/>
            <w:color w:val="4A6FA5"/>
            <w:sz w:val="18"/>
            <w:szCs w:val="18"/>
          </w:rPr>
          <w:t xml:space="preserve">luftqualitaet.api.bund.dev</w:t>
        </w:r>
      </w:hyperlink>
    </w:p>
    <w:p>
      <w:pPr>
        <w:spacing w:after="60" w:before="60"/>
      </w:pPr>
      <w:r>
        <w:rPr>
          <w:rFonts w:ascii="Calibri" w:cs="Calibri" w:eastAsia="Calibri" w:hAnsi="Calibri"/>
          <w:sz w:val="18"/>
          <w:szCs w:val="18"/>
        </w:rPr>
        <w:t xml:space="preserve">Tankerkönig Onboarding — </w:t>
      </w:r>
      <w:hyperlink w:history="1" r:id="rIdruldc4uao5_abk-unfggy">
        <w:r>
          <w:rPr>
            <w:rFonts w:ascii="Calibri" w:cs="Calibri" w:eastAsia="Calibri" w:hAnsi="Calibri"/>
            <w:color w:val="4A6FA5"/>
            <w:sz w:val="18"/>
            <w:szCs w:val="18"/>
          </w:rPr>
          <w:t xml:space="preserve">onboarding.tankerkoenig.de</w:t>
        </w:r>
      </w:hyperlink>
    </w:p>
    <w:p>
      <w:pPr>
        <w:spacing w:after="60" w:before="60"/>
      </w:pPr>
      <w:r>
        <w:rPr>
          <w:rFonts w:ascii="Calibri" w:cs="Calibri" w:eastAsia="Calibri" w:hAnsi="Calibri"/>
          <w:sz w:val="18"/>
          <w:szCs w:val="18"/>
        </w:rPr>
        <w:t xml:space="preserve">Destatis GENESIS-Online — </w:t>
      </w:r>
      <w:hyperlink w:history="1" r:id="rIdm4eountee7zc2oi4aq-e5">
        <w:r>
          <w:rPr>
            <w:rFonts w:ascii="Calibri" w:cs="Calibri" w:eastAsia="Calibri" w:hAnsi="Calibri"/>
            <w:color w:val="4A6FA5"/>
            <w:sz w:val="18"/>
            <w:szCs w:val="18"/>
          </w:rPr>
          <w:t xml:space="preserve">destatis.de API-Webservice</w:t>
        </w:r>
      </w:hyperlink>
    </w:p>
    <w:p>
      <w:pPr>
        <w:spacing w:after="60" w:before="60"/>
      </w:pPr>
      <w:r>
        <w:rPr>
          <w:rFonts w:ascii="Calibri" w:cs="Calibri" w:eastAsia="Calibri" w:hAnsi="Calibri"/>
          <w:sz w:val="18"/>
          <w:szCs w:val="18"/>
        </w:rPr>
        <w:t xml:space="preserve">Marktstammdatenregister — </w:t>
      </w:r>
      <w:hyperlink w:history="1" r:id="rIdyxhnda-qss38ns2y1botx">
        <w:r>
          <w:rPr>
            <w:rFonts w:ascii="Calibri" w:cs="Calibri" w:eastAsia="Calibri" w:hAnsi="Calibri"/>
            <w:color w:val="4A6FA5"/>
            <w:sz w:val="18"/>
            <w:szCs w:val="18"/>
          </w:rPr>
          <w:t xml:space="preserve">marktstammdatenregister.de Datendownload</w:t>
        </w:r>
      </w:hyperlink>
    </w:p>
    <w:p>
      <w:pPr>
        <w:spacing w:after="60" w:before="60"/>
      </w:pPr>
      <w:r>
        <w:rPr>
          <w:rFonts w:ascii="Calibri" w:cs="Calibri" w:eastAsia="Calibri" w:hAnsi="Calibri"/>
          <w:sz w:val="18"/>
          <w:szCs w:val="18"/>
        </w:rPr>
        <w:t xml:space="preserve">Helsinki AI Register (Vorbild) — </w:t>
      </w:r>
      <w:hyperlink w:history="1" r:id="rIdhjujrtsh6xmxyywzbn9tz">
        <w:r>
          <w:rPr>
            <w:rFonts w:ascii="Calibri" w:cs="Calibri" w:eastAsia="Calibri" w:hAnsi="Calibri"/>
            <w:color w:val="4A6FA5"/>
            <w:sz w:val="18"/>
            <w:szCs w:val="18"/>
          </w:rPr>
          <w:t xml:space="preserve">ai.hel.fi</w:t>
        </w:r>
      </w:hyperlink>
    </w:p>
    <w:p>
      <w:pPr>
        <w:spacing w:after="60" w:before="60"/>
      </w:pPr>
      <w:r>
        <w:rPr>
          <w:rFonts w:ascii="Calibri" w:cs="Calibri" w:eastAsia="Calibri" w:hAnsi="Calibri"/>
          <w:sz w:val="18"/>
          <w:szCs w:val="18"/>
        </w:rPr>
        <w:t xml:space="preserve">Wiesbaden Wirkt (Beteiligungsportal) — </w:t>
      </w:r>
      <w:hyperlink w:history="1" r:id="rIdh9ozngrv6o8uisi45zgi1">
        <w:r>
          <w:rPr>
            <w:rFonts w:ascii="Calibri" w:cs="Calibri" w:eastAsia="Calibri" w:hAnsi="Calibri"/>
            <w:color w:val="4A6FA5"/>
            <w:sz w:val="18"/>
            <w:szCs w:val="18"/>
          </w:rPr>
          <w:t xml:space="preserve">wiesbadenwirkt.de</w:t>
        </w:r>
      </w:hyperlink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C6470"/>
        <w:sz w:val="16"/>
        <w:szCs w:val="16"/>
      </w:rPr>
      <w:t xml:space="preserve">Seite </w:t>
    </w:r>
    <w:r>
      <w:rPr>
        <w:rFonts w:ascii="Calibri" w:cs="Calibri" w:eastAsia="Calibri" w:hAnsi="Calibri"/>
        <w:color w:val="5C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C6470"/>
        <w:sz w:val="16"/>
        <w:szCs w:val="16"/>
      </w:rPr>
      <w:t xml:space="preserve">Wiesbaden-Lagebild · v2.6 Audit · Sujin Park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B2B4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B2B4C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4A6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qs8-6p-8njdr_u6ggykc" Type="http://schemas.openxmlformats.org/officeDocument/2006/relationships/hyperlink" Target="https://opendata.cloud.wiesbaden.de" TargetMode="External"/><Relationship Id="rIdyv3axwerupiihsy-kvgkt" Type="http://schemas.openxmlformats.org/officeDocument/2006/relationships/hyperlink" Target="https://luftqualitaet.api.bund.dev/" TargetMode="External"/><Relationship Id="rIdruldc4uao5_abk-unfggy" Type="http://schemas.openxmlformats.org/officeDocument/2006/relationships/hyperlink" Target="https://onboarding.tankerkoenig.de/" TargetMode="External"/><Relationship Id="rIdm4eountee7zc2oi4aq-e5" Type="http://schemas.openxmlformats.org/officeDocument/2006/relationships/hyperlink" Target="https://www.destatis.de/EN/Service/OpenData/api-webservice.html" TargetMode="External"/><Relationship Id="rIdyxhnda-qss38ns2y1botx" Type="http://schemas.openxmlformats.org/officeDocument/2006/relationships/hyperlink" Target="https://www.marktstammdatenregister.de/MaStR/Datendownload" TargetMode="External"/><Relationship Id="rIdhjujrtsh6xmxyywzbn9tz" Type="http://schemas.openxmlformats.org/officeDocument/2006/relationships/hyperlink" Target="https://ai.hel.fi/de/ai-register/" TargetMode="External"/><Relationship Id="rIdh9ozngrv6o8uisi45zgi1" Type="http://schemas.openxmlformats.org/officeDocument/2006/relationships/hyperlink" Target="https://wiesbadenwirkt.de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Wiesbaden-Lagebild v2.6 — Audit &amp; Roadmap</dc:title>
  <dc:creator>Sujin Park</dc:creator>
  <dc:description>Daten-Vollständigkeits- und Innovations-Audit</dc:description>
  <cp:lastModifiedBy>Un-named</cp:lastModifiedBy>
  <cp:revision>1</cp:revision>
  <dcterms:created xsi:type="dcterms:W3CDTF">2026-05-04T20:40:12.453Z</dcterms:created>
  <dcterms:modified xsi:type="dcterms:W3CDTF">2026-05-04T20:40:12.453Z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