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AACA9" w14:textId="77777777" w:rsidR="00AA6709" w:rsidRDefault="00BF4993" w:rsidP="0072689D">
      <w:pPr>
        <w:pStyle w:val="ListParagraph"/>
        <w:numPr>
          <w:ilvl w:val="0"/>
          <w:numId w:val="1"/>
        </w:numPr>
      </w:pPr>
      <w:r>
        <w:t>What are three conclusions we can make about Kickstarter campaigns given the provided data?</w:t>
      </w:r>
    </w:p>
    <w:p w14:paraId="1BEEB2D4" w14:textId="77777777" w:rsidR="0072689D" w:rsidRDefault="0072689D" w:rsidP="0072689D">
      <w:pPr>
        <w:pStyle w:val="ListParagraph"/>
        <w:numPr>
          <w:ilvl w:val="0"/>
          <w:numId w:val="2"/>
        </w:numPr>
      </w:pPr>
      <w:r>
        <w:t xml:space="preserve">The top 3 categories are theater, music and technology campaigns, which occupy over 50% of the total campaigns. </w:t>
      </w:r>
      <w:r w:rsidR="000C63E3">
        <w:t>Most of the theater campaigns are successful while j</w:t>
      </w:r>
      <w:r>
        <w:t>ournalism campaigns are all canceled.</w:t>
      </w:r>
    </w:p>
    <w:p w14:paraId="2F4F23EB" w14:textId="77777777" w:rsidR="0072689D" w:rsidRDefault="00403FCE" w:rsidP="0072689D">
      <w:pPr>
        <w:pStyle w:val="ListParagraph"/>
        <w:numPr>
          <w:ilvl w:val="0"/>
          <w:numId w:val="2"/>
        </w:numPr>
      </w:pPr>
      <w:r>
        <w:t>Classic music, electronic music, metal, pop and rock music campaigns are all successfully funded. Plays in theater category still the most funded category. We could see that music and plays are really trend nowadays.</w:t>
      </w:r>
    </w:p>
    <w:p w14:paraId="0A21AAFE" w14:textId="77777777" w:rsidR="00AE191D" w:rsidRDefault="00AE191D" w:rsidP="0072689D">
      <w:pPr>
        <w:pStyle w:val="ListParagraph"/>
        <w:numPr>
          <w:ilvl w:val="0"/>
          <w:numId w:val="2"/>
        </w:numPr>
      </w:pPr>
      <w:r>
        <w:t>The campaigns that are successfully funded are always more than the campaigns that failed or canceled all the year round, except on December.</w:t>
      </w:r>
    </w:p>
    <w:p w14:paraId="48A983BA" w14:textId="77777777" w:rsidR="00AE191D" w:rsidRDefault="00AE191D" w:rsidP="00AE191D">
      <w:pPr>
        <w:ind w:left="360"/>
      </w:pPr>
    </w:p>
    <w:p w14:paraId="2A2F4BEA" w14:textId="77777777" w:rsidR="00BF4993" w:rsidRDefault="00BF4993" w:rsidP="00BF4993">
      <w:pPr>
        <w:pStyle w:val="ListParagraph"/>
        <w:numPr>
          <w:ilvl w:val="0"/>
          <w:numId w:val="1"/>
        </w:numPr>
      </w:pPr>
      <w:r>
        <w:t>What are some of the limitations of this dataset?</w:t>
      </w:r>
    </w:p>
    <w:p w14:paraId="73802593" w14:textId="00CD9542" w:rsidR="00EB56E1" w:rsidRDefault="00EB56E1" w:rsidP="00EB56E1">
      <w:r>
        <w:t>The relationship between the time period and the status, the seasonal dependenc</w:t>
      </w:r>
      <w:r w:rsidR="00224BD4">
        <w:t>e</w:t>
      </w:r>
      <w:r>
        <w:t xml:space="preserve"> funded category and unclear to see.</w:t>
      </w:r>
    </w:p>
    <w:p w14:paraId="2A764A1D" w14:textId="77777777" w:rsidR="00224BD4" w:rsidRDefault="00224BD4" w:rsidP="00EB56E1"/>
    <w:p w14:paraId="162E62E1" w14:textId="77777777" w:rsidR="00303143" w:rsidRDefault="00BF4993" w:rsidP="00BF4993">
      <w:pPr>
        <w:pStyle w:val="ListParagraph"/>
        <w:numPr>
          <w:ilvl w:val="0"/>
          <w:numId w:val="1"/>
        </w:numPr>
      </w:pPr>
      <w:r>
        <w:t>What are some other possible tables/graphs that we could create?</w:t>
      </w:r>
    </w:p>
    <w:p w14:paraId="0C940990" w14:textId="03F0AF02" w:rsidR="007C08D0" w:rsidRDefault="007C08D0" w:rsidP="007C08D0">
      <w:pPr>
        <w:pStyle w:val="ListParagraph"/>
        <w:ind w:left="0"/>
      </w:pPr>
      <w:r>
        <w:t xml:space="preserve">We could create the </w:t>
      </w:r>
      <w:proofErr w:type="gramStart"/>
      <w:r>
        <w:t>backers</w:t>
      </w:r>
      <w:proofErr w:type="gramEnd"/>
      <w:r>
        <w:t xml:space="preserve"> information with each category, which may give us insights</w:t>
      </w:r>
      <w:r w:rsidR="00B56E42">
        <w:t xml:space="preserve"> about the trending of</w:t>
      </w:r>
      <w:r>
        <w:t xml:space="preserve"> the marketing.</w:t>
      </w:r>
    </w:p>
    <w:p w14:paraId="263F9927" w14:textId="77777777" w:rsidR="007C08D0" w:rsidRDefault="007C08D0" w:rsidP="00224BD4">
      <w:pPr>
        <w:pStyle w:val="ListParagraph"/>
        <w:ind w:left="0"/>
        <w:jc w:val="center"/>
      </w:pPr>
      <w:r>
        <w:rPr>
          <w:noProof/>
        </w:rPr>
        <w:drawing>
          <wp:inline distT="0" distB="0" distL="0" distR="0" wp14:anchorId="5E167D26" wp14:editId="1FCC153D">
            <wp:extent cx="5943600" cy="3743960"/>
            <wp:effectExtent l="0" t="0" r="12700" b="15240"/>
            <wp:docPr id="1" name="Chart 1">
              <a:extLst xmlns:a="http://schemas.openxmlformats.org/drawingml/2006/main">
                <a:ext uri="{FF2B5EF4-FFF2-40B4-BE49-F238E27FC236}">
                  <a16:creationId xmlns:a16="http://schemas.microsoft.com/office/drawing/2014/main" id="{00DAD840-5236-E34C-9108-4100AE454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E33DB7" w14:textId="69E3B47B" w:rsidR="007C08D0" w:rsidRDefault="00B56E42" w:rsidP="007C08D0">
      <w:pPr>
        <w:pStyle w:val="ListParagraph"/>
        <w:ind w:left="0"/>
      </w:pPr>
      <w:r>
        <w:t xml:space="preserve">We could also uncover the relationship between the initial goal and percentage funded. When the initial goal set larger than 45000, the possibility to fail increased.  </w:t>
      </w:r>
    </w:p>
    <w:p w14:paraId="5F8FB2AB" w14:textId="2C54CE69" w:rsidR="00224BD4" w:rsidRDefault="00224BD4" w:rsidP="00224BD4">
      <w:pPr>
        <w:pStyle w:val="ListParagraph"/>
        <w:ind w:left="0"/>
        <w:jc w:val="center"/>
      </w:pPr>
      <w:r>
        <w:rPr>
          <w:noProof/>
        </w:rPr>
        <w:lastRenderedPageBreak/>
        <w:drawing>
          <wp:inline distT="0" distB="0" distL="0" distR="0" wp14:anchorId="4C7F5594" wp14:editId="4C02FAE3">
            <wp:extent cx="5842000" cy="3835400"/>
            <wp:effectExtent l="0" t="0" r="12700" b="12700"/>
            <wp:docPr id="2" name="Chart 2">
              <a:extLst xmlns:a="http://schemas.openxmlformats.org/drawingml/2006/main">
                <a:ext uri="{FF2B5EF4-FFF2-40B4-BE49-F238E27FC236}">
                  <a16:creationId xmlns:a16="http://schemas.microsoft.com/office/drawing/2014/main" id="{E00A6497-F5C0-BB4F-A28B-C039AC711C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58C3796F" w14:textId="3872501A" w:rsidR="00B56E42" w:rsidRDefault="00B56E42" w:rsidP="007C08D0">
      <w:pPr>
        <w:pStyle w:val="ListParagraph"/>
        <w:ind w:left="0"/>
      </w:pPr>
    </w:p>
    <w:sectPr w:rsidR="00B56E42" w:rsidSect="0052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110B3"/>
    <w:multiLevelType w:val="hybridMultilevel"/>
    <w:tmpl w:val="32707E9E"/>
    <w:lvl w:ilvl="0" w:tplc="4ECA3352">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9672B"/>
    <w:multiLevelType w:val="hybridMultilevel"/>
    <w:tmpl w:val="208E3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93"/>
    <w:rsid w:val="000C63E3"/>
    <w:rsid w:val="0010546D"/>
    <w:rsid w:val="00224BD4"/>
    <w:rsid w:val="00403FCE"/>
    <w:rsid w:val="00526930"/>
    <w:rsid w:val="0072689D"/>
    <w:rsid w:val="007C08D0"/>
    <w:rsid w:val="00843B3C"/>
    <w:rsid w:val="00AA6709"/>
    <w:rsid w:val="00AE191D"/>
    <w:rsid w:val="00B56E42"/>
    <w:rsid w:val="00BF4993"/>
    <w:rsid w:val="00D72740"/>
    <w:rsid w:val="00EB5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D29796"/>
  <w15:chartTrackingRefBased/>
  <w15:docId w15:val="{317395E2-E929-C448-9F31-F4742F64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uobao/Desktop/Boot%20camp/week%20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uobao/Desktop/Boot%20camp/week%201/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Backers</a:t>
            </a:r>
            <a:r>
              <a:rPr lang="en-US" baseline="0"/>
              <a:t> in different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Sheet2!$B$4</c:f>
              <c:strCache>
                <c:ptCount val="1"/>
                <c:pt idx="0">
                  <c:v>Total</c:v>
                </c:pt>
              </c:strCache>
            </c:strRef>
          </c:tx>
          <c:spPr>
            <a:solidFill>
              <a:schemeClr val="accent1"/>
            </a:solidFill>
            <a:ln>
              <a:noFill/>
            </a:ln>
            <a:effectLst/>
          </c:spPr>
          <c:invertIfNegative val="0"/>
          <c:cat>
            <c:strRef>
              <c:f>Sheet2!$A$5:$A$46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Sheet2!$B$5:$B$46</c:f>
              <c:numCache>
                <c:formatCode>General</c:formatCode>
                <c:ptCount val="41"/>
                <c:pt idx="0">
                  <c:v>1406</c:v>
                </c:pt>
                <c:pt idx="1">
                  <c:v>220</c:v>
                </c:pt>
                <c:pt idx="2">
                  <c:v>315</c:v>
                </c:pt>
                <c:pt idx="3">
                  <c:v>359</c:v>
                </c:pt>
                <c:pt idx="4">
                  <c:v>2252</c:v>
                </c:pt>
                <c:pt idx="5">
                  <c:v>46243</c:v>
                </c:pt>
                <c:pt idx="6">
                  <c:v>1805</c:v>
                </c:pt>
                <c:pt idx="7">
                  <c:v>4959</c:v>
                </c:pt>
                <c:pt idx="8">
                  <c:v>1443</c:v>
                </c:pt>
                <c:pt idx="9">
                  <c:v>265</c:v>
                </c:pt>
                <c:pt idx="10">
                  <c:v>907</c:v>
                </c:pt>
                <c:pt idx="11">
                  <c:v>778</c:v>
                </c:pt>
                <c:pt idx="12">
                  <c:v>134238</c:v>
                </c:pt>
                <c:pt idx="13">
                  <c:v>11323</c:v>
                </c:pt>
                <c:pt idx="14">
                  <c:v>580</c:v>
                </c:pt>
                <c:pt idx="15">
                  <c:v>1111</c:v>
                </c:pt>
                <c:pt idx="16">
                  <c:v>2012</c:v>
                </c:pt>
                <c:pt idx="17">
                  <c:v>352</c:v>
                </c:pt>
                <c:pt idx="18">
                  <c:v>3278</c:v>
                </c:pt>
                <c:pt idx="19">
                  <c:v>67</c:v>
                </c:pt>
                <c:pt idx="20">
                  <c:v>5221</c:v>
                </c:pt>
                <c:pt idx="21">
                  <c:v>118</c:v>
                </c:pt>
                <c:pt idx="22">
                  <c:v>21473</c:v>
                </c:pt>
                <c:pt idx="23">
                  <c:v>145</c:v>
                </c:pt>
                <c:pt idx="24">
                  <c:v>42072</c:v>
                </c:pt>
                <c:pt idx="25">
                  <c:v>2652</c:v>
                </c:pt>
                <c:pt idx="26">
                  <c:v>28370</c:v>
                </c:pt>
                <c:pt idx="27">
                  <c:v>97</c:v>
                </c:pt>
                <c:pt idx="28">
                  <c:v>21893</c:v>
                </c:pt>
                <c:pt idx="29">
                  <c:v>377</c:v>
                </c:pt>
                <c:pt idx="30">
                  <c:v>2443</c:v>
                </c:pt>
                <c:pt idx="31">
                  <c:v>11994</c:v>
                </c:pt>
                <c:pt idx="32">
                  <c:v>18816</c:v>
                </c:pt>
                <c:pt idx="33">
                  <c:v>18846</c:v>
                </c:pt>
                <c:pt idx="34">
                  <c:v>44208</c:v>
                </c:pt>
                <c:pt idx="35">
                  <c:v>6072</c:v>
                </c:pt>
                <c:pt idx="36">
                  <c:v>237</c:v>
                </c:pt>
                <c:pt idx="37">
                  <c:v>4262</c:v>
                </c:pt>
                <c:pt idx="38">
                  <c:v>19217</c:v>
                </c:pt>
                <c:pt idx="39">
                  <c:v>637</c:v>
                </c:pt>
                <c:pt idx="40">
                  <c:v>183</c:v>
                </c:pt>
              </c:numCache>
            </c:numRef>
          </c:val>
          <c:extLst>
            <c:ext xmlns:c16="http://schemas.microsoft.com/office/drawing/2014/chart" uri="{C3380CC4-5D6E-409C-BE32-E72D297353CC}">
              <c16:uniqueId val="{00000000-32A1-A640-BA36-2D3A908261B5}"/>
            </c:ext>
          </c:extLst>
        </c:ser>
        <c:dLbls>
          <c:showLegendKey val="0"/>
          <c:showVal val="0"/>
          <c:showCatName val="0"/>
          <c:showSerName val="0"/>
          <c:showPercent val="0"/>
          <c:showBubbleSize val="0"/>
        </c:dLbls>
        <c:gapWidth val="219"/>
        <c:overlap val="-27"/>
        <c:axId val="1354223919"/>
        <c:axId val="1353915071"/>
      </c:barChart>
      <c:catAx>
        <c:axId val="1354223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915071"/>
        <c:crosses val="autoZero"/>
        <c:auto val="1"/>
        <c:lblAlgn val="ctr"/>
        <c:lblOffset val="100"/>
        <c:noMultiLvlLbl val="0"/>
      </c:catAx>
      <c:valAx>
        <c:axId val="1353915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Numbers</a:t>
                </a:r>
                <a:r>
                  <a:rPr lang="en-US" baseline="0"/>
                  <a:t> of backers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22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 sheet'!$F$1</c:f>
              <c:strCache>
                <c:ptCount val="1"/>
                <c:pt idx="0">
                  <c:v>Percentage Successful</c:v>
                </c:pt>
              </c:strCache>
            </c:strRef>
          </c:tx>
          <c:spPr>
            <a:ln w="28575" cap="rnd">
              <a:solidFill>
                <a:schemeClr val="accent1"/>
              </a:solidFill>
              <a:round/>
            </a:ln>
            <a:effectLst/>
          </c:spPr>
          <c:marker>
            <c:symbol val="none"/>
          </c:marker>
          <c:cat>
            <c:strRef>
              <c:f>'Bonus sheet'!$A$2:$A$13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sheet'!$F$2:$F$13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3572-4241-9E51-3BE4D53630B1}"/>
            </c:ext>
          </c:extLst>
        </c:ser>
        <c:ser>
          <c:idx val="1"/>
          <c:order val="1"/>
          <c:tx>
            <c:strRef>
              <c:f>'Bonus sheet'!$G$1</c:f>
              <c:strCache>
                <c:ptCount val="1"/>
                <c:pt idx="0">
                  <c:v>Percentage Failed</c:v>
                </c:pt>
              </c:strCache>
            </c:strRef>
          </c:tx>
          <c:spPr>
            <a:ln w="28575" cap="rnd">
              <a:solidFill>
                <a:schemeClr val="accent2"/>
              </a:solidFill>
              <a:round/>
            </a:ln>
            <a:effectLst/>
          </c:spPr>
          <c:marker>
            <c:symbol val="none"/>
          </c:marker>
          <c:cat>
            <c:strRef>
              <c:f>'Bonus sheet'!$A$2:$A$13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sheet'!$G$2:$G$13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3572-4241-9E51-3BE4D53630B1}"/>
            </c:ext>
          </c:extLst>
        </c:ser>
        <c:ser>
          <c:idx val="2"/>
          <c:order val="2"/>
          <c:tx>
            <c:strRef>
              <c:f>'Bonus sheet'!$H$1</c:f>
              <c:strCache>
                <c:ptCount val="1"/>
                <c:pt idx="0">
                  <c:v>Percentage Canceled</c:v>
                </c:pt>
              </c:strCache>
            </c:strRef>
          </c:tx>
          <c:spPr>
            <a:ln w="28575" cap="rnd">
              <a:solidFill>
                <a:schemeClr val="accent3"/>
              </a:solidFill>
              <a:round/>
            </a:ln>
            <a:effectLst/>
          </c:spPr>
          <c:marker>
            <c:symbol val="none"/>
          </c:marker>
          <c:cat>
            <c:strRef>
              <c:f>'Bonus sheet'!$A$2:$A$13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sheet'!$H$2:$H$13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3572-4241-9E51-3BE4D53630B1}"/>
            </c:ext>
          </c:extLst>
        </c:ser>
        <c:dLbls>
          <c:showLegendKey val="0"/>
          <c:showVal val="0"/>
          <c:showCatName val="0"/>
          <c:showSerName val="0"/>
          <c:showPercent val="0"/>
          <c:showBubbleSize val="0"/>
        </c:dLbls>
        <c:smooth val="0"/>
        <c:axId val="1180273807"/>
        <c:axId val="1310205183"/>
      </c:lineChart>
      <c:catAx>
        <c:axId val="118027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205183"/>
        <c:crosses val="autoZero"/>
        <c:auto val="1"/>
        <c:lblAlgn val="ctr"/>
        <c:lblOffset val="100"/>
        <c:noMultiLvlLbl val="0"/>
      </c:catAx>
      <c:valAx>
        <c:axId val="13102051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27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GuoSujin</dc:creator>
  <cp:keywords/>
  <dc:description/>
  <cp:lastModifiedBy>GuoSujin</cp:lastModifiedBy>
  <cp:revision>4</cp:revision>
  <dcterms:created xsi:type="dcterms:W3CDTF">2018-11-12T19:48:00Z</dcterms:created>
  <dcterms:modified xsi:type="dcterms:W3CDTF">2018-11-13T17:39:00Z</dcterms:modified>
</cp:coreProperties>
</file>