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CA5C7" w14:textId="77777777" w:rsidR="005D0C72" w:rsidRPr="005D0C72" w:rsidRDefault="005D0C72" w:rsidP="005D0C7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D0C72">
        <w:rPr>
          <w:rFonts w:ascii="Times New Roman" w:hAnsi="Times New Roman" w:cs="Times New Roman"/>
          <w:b/>
          <w:bCs/>
        </w:rPr>
        <w:t>Pipeline Overview: Genome-Wide CpG Architecture &amp; Codon Bias</w:t>
      </w:r>
    </w:p>
    <w:p w14:paraId="68F074D2" w14:textId="77777777" w:rsidR="005D0C72" w:rsidRPr="005D0C72" w:rsidRDefault="005D0C72" w:rsidP="005D0C72">
      <w:p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</w:rPr>
        <w:t>This repository contains the custom Python and Bash scripts used to investigate the relationship between synonymous codon usage bias and CpG dinucleotide architecture across six climate-resilient millet genomes. The pipeline is fully modular and maps directly to the methodology and figures presented in the manuscript.</w:t>
      </w:r>
    </w:p>
    <w:p w14:paraId="6BBE7899" w14:textId="77777777" w:rsidR="005D0C72" w:rsidRPr="005D0C72" w:rsidRDefault="005D0C72" w:rsidP="005D0C7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D0C72">
        <w:rPr>
          <w:rFonts w:ascii="Times New Roman" w:hAnsi="Times New Roman" w:cs="Times New Roman"/>
          <w:b/>
          <w:bCs/>
        </w:rPr>
        <w:t>Phase 1: Genome-wide CpG Density &amp; Classification (Figure 1)</w:t>
      </w:r>
    </w:p>
    <w:p w14:paraId="05257D65" w14:textId="77777777" w:rsidR="005D0C72" w:rsidRPr="005D0C72" w:rsidRDefault="005D0C72" w:rsidP="005D0C72">
      <w:p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</w:rPr>
        <w:t>Calculates raw CpG density and stratifies coding sequences into functionally distinct classes.</w:t>
      </w:r>
    </w:p>
    <w:p w14:paraId="0A485041" w14:textId="77777777" w:rsidR="005D0C72" w:rsidRPr="005D0C72" w:rsidRDefault="005D0C72" w:rsidP="005D0C7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t>01_calculate_density.py</w:t>
      </w:r>
      <w:r w:rsidRPr="005D0C72">
        <w:rPr>
          <w:rFonts w:ascii="Times New Roman" w:hAnsi="Times New Roman" w:cs="Times New Roman"/>
        </w:rPr>
        <w:t>: Scans genome-wide coding sequences (CDS) to calculate the absolute CpG dinucleotide density per kilobase for each gene.</w:t>
      </w:r>
    </w:p>
    <w:p w14:paraId="133B88CF" w14:textId="77777777" w:rsidR="005D0C72" w:rsidRPr="005D0C72" w:rsidRDefault="005D0C72" w:rsidP="005D0C7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t>02_classify_genes.py</w:t>
      </w:r>
      <w:r w:rsidRPr="005D0C72">
        <w:rPr>
          <w:rFonts w:ascii="Times New Roman" w:hAnsi="Times New Roman" w:cs="Times New Roman"/>
        </w:rPr>
        <w:t>: Applies species-specific quartile thresholds to classify genes into CpG-rich (≥ Q3), CpG-moderate (Q1–Q3), and CpG-poor (≤ Q1) categories.</w:t>
      </w:r>
    </w:p>
    <w:p w14:paraId="6DFC33B4" w14:textId="77777777" w:rsidR="005D0C72" w:rsidRPr="005D0C72" w:rsidRDefault="005D0C72" w:rsidP="005D0C7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t>03_plot_density.py</w:t>
      </w:r>
      <w:r w:rsidRPr="005D0C72">
        <w:rPr>
          <w:rFonts w:ascii="Times New Roman" w:hAnsi="Times New Roman" w:cs="Times New Roman"/>
        </w:rPr>
        <w:t>: Generates smoothed kernel density (KDE) ridgeline plots to visualize the non-random CpG density landscapes across the genomes (Figure 1).</w:t>
      </w:r>
    </w:p>
    <w:p w14:paraId="7F587DAB" w14:textId="77777777" w:rsidR="005D0C72" w:rsidRPr="005D0C72" w:rsidRDefault="005D0C72" w:rsidP="005D0C7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D0C72">
        <w:rPr>
          <w:rFonts w:ascii="Times New Roman" w:hAnsi="Times New Roman" w:cs="Times New Roman"/>
          <w:b/>
          <w:bCs/>
        </w:rPr>
        <w:t>Phase 2: Positional CpG Distribution / Metagene Analysis (Figure 2)</w:t>
      </w:r>
    </w:p>
    <w:p w14:paraId="00D9FDF0" w14:textId="77777777" w:rsidR="005D0C72" w:rsidRPr="005D0C72" w:rsidRDefault="005D0C72" w:rsidP="005D0C72">
      <w:p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</w:rPr>
        <w:t>Assesses the spatial distribution of CpG motifs to test for gene body–centric enrichment.</w:t>
      </w:r>
    </w:p>
    <w:p w14:paraId="45EF9A8E" w14:textId="77777777" w:rsidR="005D0C72" w:rsidRPr="005D0C72" w:rsidRDefault="005D0C72" w:rsidP="005D0C7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t>04_scan_gene_regions.py</w:t>
      </w:r>
      <w:r w:rsidRPr="005D0C72">
        <w:rPr>
          <w:rFonts w:ascii="Times New Roman" w:hAnsi="Times New Roman" w:cs="Times New Roman"/>
        </w:rPr>
        <w:t>: Partitions each CDS into three equal-length relative segments (5′ region, central gene body, and 3′ region) and quantifies CpG occurrences within each bin.</w:t>
      </w:r>
    </w:p>
    <w:p w14:paraId="14092689" w14:textId="77777777" w:rsidR="005D0C72" w:rsidRPr="005D0C72" w:rsidRDefault="005D0C72" w:rsidP="005D0C72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t>05_plot_gene_regions.py</w:t>
      </w:r>
      <w:r w:rsidRPr="005D0C72">
        <w:rPr>
          <w:rFonts w:ascii="Times New Roman" w:hAnsi="Times New Roman" w:cs="Times New Roman"/>
        </w:rPr>
        <w:t>: Generates metagene line profiles demonstrating the conserved enrichment of CpG motifs within internal gene body regions (Figure 2).</w:t>
      </w:r>
    </w:p>
    <w:p w14:paraId="3E1818C2" w14:textId="77777777" w:rsidR="005D0C72" w:rsidRPr="005D0C72" w:rsidRDefault="005D0C72" w:rsidP="005D0C7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D0C72">
        <w:rPr>
          <w:rFonts w:ascii="Times New Roman" w:hAnsi="Times New Roman" w:cs="Times New Roman"/>
          <w:b/>
          <w:bCs/>
        </w:rPr>
        <w:t>Phase 3: Codon Bias Across CpG Gene Classes (Figure 3)</w:t>
      </w:r>
    </w:p>
    <w:p w14:paraId="3D7A8CCA" w14:textId="77777777" w:rsidR="005D0C72" w:rsidRPr="005D0C72" w:rsidRDefault="005D0C72" w:rsidP="005D0C72">
      <w:p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</w:rPr>
        <w:t>Evaluates differences in translational optimization and codon bias metrics among the CpG architectures.</w:t>
      </w:r>
    </w:p>
    <w:p w14:paraId="2177F1B5" w14:textId="77777777" w:rsidR="005D0C72" w:rsidRPr="005D0C72" w:rsidRDefault="005D0C72" w:rsidP="005D0C7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t>06_format_codon_data.py</w:t>
      </w:r>
      <w:r w:rsidRPr="005D0C72">
        <w:rPr>
          <w:rFonts w:ascii="Times New Roman" w:hAnsi="Times New Roman" w:cs="Times New Roman"/>
        </w:rPr>
        <w:t>: Standardizes the formatting of pre-calculated Effective Number of Codons (ENC) and Codon Adaptation Index (CAI) datasets.</w:t>
      </w:r>
    </w:p>
    <w:p w14:paraId="11807BCE" w14:textId="77777777" w:rsidR="005D0C72" w:rsidRPr="005D0C72" w:rsidRDefault="005D0C72" w:rsidP="005D0C7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t>07_merge_codon_data.py</w:t>
      </w:r>
      <w:r w:rsidRPr="005D0C72">
        <w:rPr>
          <w:rFonts w:ascii="Times New Roman" w:hAnsi="Times New Roman" w:cs="Times New Roman"/>
        </w:rPr>
        <w:t>: Integrates the codon bias metrics (ENC, CAI, GC3s) with the respective CpG gene classifications.</w:t>
      </w:r>
    </w:p>
    <w:p w14:paraId="091A5984" w14:textId="77777777" w:rsidR="005D0C72" w:rsidRPr="005D0C72" w:rsidRDefault="005D0C72" w:rsidP="005D0C72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lastRenderedPageBreak/>
        <w:t>08_plot_codon_differences.py</w:t>
      </w:r>
      <w:r w:rsidRPr="005D0C72">
        <w:rPr>
          <w:rFonts w:ascii="Times New Roman" w:hAnsi="Times New Roman" w:cs="Times New Roman"/>
        </w:rPr>
        <w:t>: Generates boxplots with raw-data strip overlays to statistically compare ENC, CAI, and GC3s across the three CpG classes (Figure 3).</w:t>
      </w:r>
    </w:p>
    <w:p w14:paraId="52E8E1F6" w14:textId="77777777" w:rsidR="005D0C72" w:rsidRPr="005D0C72" w:rsidRDefault="005D0C72" w:rsidP="005D0C7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D0C72">
        <w:rPr>
          <w:rFonts w:ascii="Times New Roman" w:hAnsi="Times New Roman" w:cs="Times New Roman"/>
          <w:b/>
          <w:bCs/>
        </w:rPr>
        <w:t>Phase 4: CpG Observed/Expected (O/E) Ratios (Figure 4)</w:t>
      </w:r>
    </w:p>
    <w:p w14:paraId="4B317F5F" w14:textId="77777777" w:rsidR="005D0C72" w:rsidRPr="005D0C72" w:rsidRDefault="005D0C72" w:rsidP="005D0C72">
      <w:p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</w:rPr>
        <w:t>Determines whether CpG variation is driven by active enrichment/depletion or background nucleotide composition.</w:t>
      </w:r>
    </w:p>
    <w:p w14:paraId="44F033A8" w14:textId="77777777" w:rsidR="005D0C72" w:rsidRPr="005D0C72" w:rsidRDefault="005D0C72" w:rsidP="005D0C7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t>09_calculate_expected_cpg.py</w:t>
      </w:r>
      <w:r w:rsidRPr="005D0C72">
        <w:rPr>
          <w:rFonts w:ascii="Times New Roman" w:hAnsi="Times New Roman" w:cs="Times New Roman"/>
        </w:rPr>
        <w:t>: Computes the sequence-length normalized CpG O/E ratio for each gene based on local Cytosine and Guanine frequencies.</w:t>
      </w:r>
    </w:p>
    <w:p w14:paraId="4DFA8D32" w14:textId="77777777" w:rsidR="005D0C72" w:rsidRPr="005D0C72" w:rsidRDefault="005D0C72" w:rsidP="005D0C72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t>10_plot_expected_cpg.py</w:t>
      </w:r>
      <w:r w:rsidRPr="005D0C72">
        <w:rPr>
          <w:rFonts w:ascii="Times New Roman" w:hAnsi="Times New Roman" w:cs="Times New Roman"/>
        </w:rPr>
        <w:t>: Generates violin plots illustrating the broad distribution of CpG-enriched versus CpG-depleted coding sequences (Figure 4).</w:t>
      </w:r>
    </w:p>
    <w:p w14:paraId="200796DA" w14:textId="77777777" w:rsidR="005D0C72" w:rsidRPr="005D0C72" w:rsidRDefault="005D0C72" w:rsidP="005D0C7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D0C72">
        <w:rPr>
          <w:rFonts w:ascii="Times New Roman" w:hAnsi="Times New Roman" w:cs="Times New Roman"/>
          <w:b/>
          <w:bCs/>
        </w:rPr>
        <w:t>Phase 5: Codon-CpG Correlation &amp; GC3 Controls (Figures 5 &amp; 6)</w:t>
      </w:r>
    </w:p>
    <w:p w14:paraId="5E32DAF2" w14:textId="77777777" w:rsidR="005D0C72" w:rsidRPr="005D0C72" w:rsidRDefault="005D0C72" w:rsidP="005D0C72">
      <w:p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</w:rPr>
        <w:t>Disentangles the influence of GC-content at the 3rd synonymous position (GC3s) from structural CpG architecture.</w:t>
      </w:r>
    </w:p>
    <w:p w14:paraId="60066721" w14:textId="77777777" w:rsidR="005D0C72" w:rsidRPr="005D0C72" w:rsidRDefault="005D0C72" w:rsidP="005D0C7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t>11_plot_correlations.py</w:t>
      </w:r>
      <w:r w:rsidRPr="005D0C72">
        <w:rPr>
          <w:rFonts w:ascii="Times New Roman" w:hAnsi="Times New Roman" w:cs="Times New Roman"/>
        </w:rPr>
        <w:t>: Computes Spearman rank correlations between CpG density, GC3s, ENC, and CAI, visualizing the structural coupling via a heatmap (Figure 5).</w:t>
      </w:r>
    </w:p>
    <w:p w14:paraId="70AF486F" w14:textId="77777777" w:rsidR="005D0C72" w:rsidRPr="005D0C72" w:rsidRDefault="005D0C72" w:rsidP="005D0C72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t>12_plot_gc3_effects.py</w:t>
      </w:r>
      <w:r w:rsidRPr="005D0C72">
        <w:rPr>
          <w:rFonts w:ascii="Times New Roman" w:hAnsi="Times New Roman" w:cs="Times New Roman"/>
        </w:rPr>
        <w:t>: Bins genes strictly by GC3s content (&lt;40%, 40-60%, &gt;60%) and generates boxplots to demonstrate that CpG variation persists independently of GC3 constraints (Figure 6).</w:t>
      </w:r>
    </w:p>
    <w:p w14:paraId="0F7AB64D" w14:textId="77777777" w:rsidR="005D0C72" w:rsidRPr="005D0C72" w:rsidRDefault="005D0C72" w:rsidP="005D0C7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D0C72">
        <w:rPr>
          <w:rFonts w:ascii="Times New Roman" w:hAnsi="Times New Roman" w:cs="Times New Roman"/>
          <w:b/>
          <w:bCs/>
        </w:rPr>
        <w:t>Phase 6: Codon-Frame Origin of CpG Motifs (Figure 7)</w:t>
      </w:r>
    </w:p>
    <w:p w14:paraId="71B051B4" w14:textId="77777777" w:rsidR="005D0C72" w:rsidRPr="005D0C72" w:rsidRDefault="005D0C72" w:rsidP="005D0C72">
      <w:p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</w:rPr>
        <w:t>Investigates the structural origin of CpG motifs relative to codon boundaries to determine the role of codon adjacency.</w:t>
      </w:r>
    </w:p>
    <w:p w14:paraId="143B6D44" w14:textId="77777777" w:rsidR="005D0C72" w:rsidRPr="005D0C72" w:rsidRDefault="005D0C72" w:rsidP="005D0C7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t>13_scan_reading_frames.py</w:t>
      </w:r>
      <w:r w:rsidRPr="005D0C72">
        <w:rPr>
          <w:rFonts w:ascii="Times New Roman" w:hAnsi="Times New Roman" w:cs="Times New Roman"/>
        </w:rPr>
        <w:t>: Scans translating reading frames to classify each CpG motif as originating from positions 1-2, positions 2-3, or across inter-codon boundaries.</w:t>
      </w:r>
    </w:p>
    <w:p w14:paraId="46DB7B61" w14:textId="77777777" w:rsidR="005D0C72" w:rsidRPr="005D0C72" w:rsidRDefault="005D0C72" w:rsidP="005D0C7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t>14_calculate_frame_stats.py</w:t>
      </w:r>
      <w:r w:rsidRPr="005D0C72">
        <w:rPr>
          <w:rFonts w:ascii="Times New Roman" w:hAnsi="Times New Roman" w:cs="Times New Roman"/>
        </w:rPr>
        <w:t>: Converts raw positional occurrences into relative genome-wide percentages.</w:t>
      </w:r>
    </w:p>
    <w:p w14:paraId="6D19227C" w14:textId="77777777" w:rsidR="005D0C72" w:rsidRPr="005D0C72" w:rsidRDefault="005D0C72" w:rsidP="005D0C72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t>15_plot_reading_frames.py</w:t>
      </w:r>
      <w:r w:rsidRPr="005D0C72">
        <w:rPr>
          <w:rFonts w:ascii="Times New Roman" w:hAnsi="Times New Roman" w:cs="Times New Roman"/>
        </w:rPr>
        <w:t>: Generates stacked bar charts highlighting the dominance of inter-codon CpG motif formation (Figure 7).</w:t>
      </w:r>
    </w:p>
    <w:p w14:paraId="784CDE9D" w14:textId="77777777" w:rsidR="005D0C72" w:rsidRPr="005D0C72" w:rsidRDefault="005D0C72" w:rsidP="005D0C72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5D0C72">
        <w:rPr>
          <w:rFonts w:ascii="Times New Roman" w:hAnsi="Times New Roman" w:cs="Times New Roman"/>
          <w:b/>
          <w:bCs/>
        </w:rPr>
        <w:t>Phase 7: Relative Synonymous Codon Usage (ΔRSCU) Shifts (Figure 8)</w:t>
      </w:r>
    </w:p>
    <w:p w14:paraId="380518B5" w14:textId="77777777" w:rsidR="005D0C72" w:rsidRPr="005D0C72" w:rsidRDefault="005D0C72" w:rsidP="005D0C72">
      <w:p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</w:rPr>
        <w:lastRenderedPageBreak/>
        <w:t>Quantifies how synonymous codon preferences shift to accommodate or avoid CpG motifs in different gene classes.</w:t>
      </w:r>
    </w:p>
    <w:p w14:paraId="3691B258" w14:textId="77777777" w:rsidR="005D0C72" w:rsidRPr="005D0C72" w:rsidRDefault="005D0C72" w:rsidP="005D0C7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t>16_extract_sequences.py &amp; 17_run_extraction_all.sh</w:t>
      </w:r>
      <w:r w:rsidRPr="005D0C72">
        <w:rPr>
          <w:rFonts w:ascii="Times New Roman" w:hAnsi="Times New Roman" w:cs="Times New Roman"/>
        </w:rPr>
        <w:t>: Python engine and Bash wrapper to dynamically extract physical FASTA sequences for the specific CpG-rich and CpG-poor gene cohorts across all species.</w:t>
      </w:r>
    </w:p>
    <w:p w14:paraId="0E73A49A" w14:textId="77777777" w:rsidR="005D0C72" w:rsidRPr="005D0C72" w:rsidRDefault="005D0C72" w:rsidP="005D0C7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t>18_calculate_rscu.py &amp; 19_run_rscu_all.sh</w:t>
      </w:r>
      <w:r w:rsidRPr="005D0C72">
        <w:rPr>
          <w:rFonts w:ascii="Times New Roman" w:hAnsi="Times New Roman" w:cs="Times New Roman"/>
        </w:rPr>
        <w:t>: Computes standard RSCU values for the extracted cohorts.</w:t>
      </w:r>
    </w:p>
    <w:p w14:paraId="057E5821" w14:textId="77777777" w:rsidR="005D0C72" w:rsidRPr="005D0C72" w:rsidRDefault="005D0C72" w:rsidP="005D0C7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t>20_compare_rscu.py</w:t>
      </w:r>
      <w:r w:rsidRPr="005D0C72">
        <w:rPr>
          <w:rFonts w:ascii="Times New Roman" w:hAnsi="Times New Roman" w:cs="Times New Roman"/>
        </w:rPr>
        <w:t>: Computes the mathematical difference (ΔRSCU) between CpG-rich and CpG-poor usage preferences.</w:t>
      </w:r>
    </w:p>
    <w:p w14:paraId="5B079598" w14:textId="77777777" w:rsidR="005D0C72" w:rsidRPr="005D0C72" w:rsidRDefault="005D0C72" w:rsidP="005D0C7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t>21_plot_rscu_heatmap.py</w:t>
      </w:r>
      <w:r w:rsidRPr="005D0C72">
        <w:rPr>
          <w:rFonts w:ascii="Times New Roman" w:hAnsi="Times New Roman" w:cs="Times New Roman"/>
        </w:rPr>
        <w:t>: Generates a log₂-transformed ΔRSCU heatmap, specifically flagging CpG-forming codons to reveal systemic usage shifts (Figure 8A).</w:t>
      </w:r>
    </w:p>
    <w:p w14:paraId="4D02DD7B" w14:textId="77777777" w:rsidR="005D0C72" w:rsidRPr="005D0C72" w:rsidRDefault="005D0C72" w:rsidP="005D0C72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</w:rPr>
      </w:pPr>
      <w:r w:rsidRPr="005D0C72">
        <w:rPr>
          <w:rFonts w:ascii="Times New Roman" w:hAnsi="Times New Roman" w:cs="Times New Roman"/>
          <w:b/>
          <w:bCs/>
        </w:rPr>
        <w:t>22_plot_rscu_bars.py</w:t>
      </w:r>
      <w:r w:rsidRPr="005D0C72">
        <w:rPr>
          <w:rFonts w:ascii="Times New Roman" w:hAnsi="Times New Roman" w:cs="Times New Roman"/>
        </w:rPr>
        <w:t>: Generates grouped bar charts comparing the log₂ fold-change of CpG-forming codons versus non-CpG synonymous equivalents, grouped by amino acid (Figure 8B).</w:t>
      </w:r>
    </w:p>
    <w:p w14:paraId="6D2220FB" w14:textId="77777777" w:rsidR="005D0C72" w:rsidRPr="005D0C72" w:rsidRDefault="005D0C72" w:rsidP="005D0C72">
      <w:pPr>
        <w:spacing w:line="360" w:lineRule="auto"/>
        <w:jc w:val="both"/>
        <w:rPr>
          <w:rFonts w:ascii="Times New Roman" w:hAnsi="Times New Roman" w:cs="Times New Roman"/>
        </w:rPr>
      </w:pPr>
    </w:p>
    <w:sectPr w:rsidR="005D0C72" w:rsidRPr="005D0C7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1113"/>
    <w:multiLevelType w:val="multilevel"/>
    <w:tmpl w:val="6F44F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E5C19"/>
    <w:multiLevelType w:val="multilevel"/>
    <w:tmpl w:val="E5F0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E1E01"/>
    <w:multiLevelType w:val="multilevel"/>
    <w:tmpl w:val="6E0E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4F3563"/>
    <w:multiLevelType w:val="multilevel"/>
    <w:tmpl w:val="9DF8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1A1F37"/>
    <w:multiLevelType w:val="multilevel"/>
    <w:tmpl w:val="59B0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4E1A8C"/>
    <w:multiLevelType w:val="multilevel"/>
    <w:tmpl w:val="557C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D4446"/>
    <w:multiLevelType w:val="multilevel"/>
    <w:tmpl w:val="ED6C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5853839">
    <w:abstractNumId w:val="5"/>
  </w:num>
  <w:num w:numId="2" w16cid:durableId="975646389">
    <w:abstractNumId w:val="2"/>
  </w:num>
  <w:num w:numId="3" w16cid:durableId="1691446933">
    <w:abstractNumId w:val="0"/>
  </w:num>
  <w:num w:numId="4" w16cid:durableId="1254508240">
    <w:abstractNumId w:val="3"/>
  </w:num>
  <w:num w:numId="5" w16cid:durableId="2040743414">
    <w:abstractNumId w:val="6"/>
  </w:num>
  <w:num w:numId="6" w16cid:durableId="607126324">
    <w:abstractNumId w:val="4"/>
  </w:num>
  <w:num w:numId="7" w16cid:durableId="18575034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72"/>
    <w:rsid w:val="005D0C72"/>
    <w:rsid w:val="005D2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2B54A"/>
  <w15:chartTrackingRefBased/>
  <w15:docId w15:val="{0AC85424-6CBE-4561-B877-914097189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C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C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C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BEVIN NISHANTH J</dc:creator>
  <cp:keywords/>
  <dc:description/>
  <cp:lastModifiedBy>BEVIN NISHANTH J</cp:lastModifiedBy>
  <cp:revision>1</cp:revision>
  <dcterms:created xsi:type="dcterms:W3CDTF">2026-05-08T09:55:00Z</dcterms:created>
  <dcterms:modified xsi:type="dcterms:W3CDTF">2026-05-08T09:57:00Z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00a17c06-48c6-46b1-85cc-a822aeed0061</vt:lpwstr>
  </property>
</Properties>
</file>