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0A192F"/>
          <w:sz w:val="40"/>
        </w:rPr>
        <w:t>CLAUSEGUARD AI - REVISED SAFE CONTRACT</w:t>
      </w:r>
    </w:p>
    <w:p>
      <w:pPr>
        <w:jc w:val="center"/>
      </w:pPr>
      <w:r>
        <w:rPr>
          <w:rFonts w:ascii="Arial" w:hAnsi="Arial"/>
          <w:i/>
          <w:color w:val="C5A059"/>
          <w:sz w:val="22"/>
        </w:rPr>
        <w:t>Original Agreement: ClauseGuard_Sample_High_Risk_Service_Agreement.docx</w:t>
      </w:r>
    </w:p>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A192F"/>
          </w:tcPr>
          <w:p>
            <w:r>
              <w:rPr>
                <w:rFonts w:ascii="Arial" w:hAnsi="Arial"/>
                <w:b/>
                <w:color w:val="C5A059"/>
                <w:sz w:val="19"/>
              </w:rPr>
              <w:t>Overall Risk Profile:</w:t>
            </w:r>
          </w:p>
        </w:tc>
        <w:tc>
          <w:tcPr>
            <w:tcW w:type="dxa" w:w="6480"/>
            <w:shd w:val="clear" w:color="auto" w:fill="F4F5F7"/>
          </w:tcPr>
          <w:p>
            <w:r>
              <w:rPr>
                <w:rFonts w:ascii="Arial" w:hAnsi="Arial"/>
                <w:b/>
                <w:color w:val="0A192F"/>
                <w:sz w:val="19"/>
              </w:rPr>
              <w:t>HIGH</w:t>
            </w:r>
          </w:p>
        </w:tc>
      </w:tr>
      <w:tr>
        <w:tc>
          <w:tcPr>
            <w:tcW w:type="dxa" w:w="3168"/>
            <w:shd w:val="clear" w:color="auto" w:fill="0A192F"/>
          </w:tcPr>
          <w:p>
            <w:r>
              <w:rPr>
                <w:rFonts w:ascii="Arial" w:hAnsi="Arial"/>
                <w:b/>
                <w:color w:val="C5A059"/>
                <w:sz w:val="19"/>
              </w:rPr>
              <w:t>Audit Verification:</w:t>
            </w:r>
          </w:p>
        </w:tc>
        <w:tc>
          <w:tcPr>
            <w:tcW w:type="dxa" w:w="6480"/>
            <w:shd w:val="clear" w:color="auto" w:fill="F4F5F7"/>
          </w:tcPr>
          <w:p>
            <w:r>
              <w:rPr>
                <w:rFonts w:ascii="Arial" w:hAnsi="Arial"/>
                <w:b w:val="0"/>
                <w:color w:val="0A192F"/>
                <w:sz w:val="19"/>
              </w:rPr>
              <w:t>Verified via Algorand TestNet x402 Micropayment Gate</w:t>
            </w:r>
          </w:p>
        </w:tc>
      </w:tr>
      <w:tr>
        <w:tc>
          <w:tcPr>
            <w:tcW w:type="dxa" w:w="3168"/>
            <w:shd w:val="clear" w:color="auto" w:fill="0A192F"/>
          </w:tcPr>
          <w:p>
            <w:r>
              <w:rPr>
                <w:rFonts w:ascii="Arial" w:hAnsi="Arial"/>
                <w:b/>
                <w:color w:val="C5A059"/>
                <w:sz w:val="19"/>
              </w:rPr>
              <w:t>On-Chain Proof TxID:</w:t>
            </w:r>
          </w:p>
        </w:tc>
        <w:tc>
          <w:tcPr>
            <w:tcW w:type="dxa" w:w="6480"/>
            <w:shd w:val="clear" w:color="auto" w:fill="F4F5F7"/>
          </w:tcPr>
          <w:p>
            <w:r>
              <w:rPr>
                <w:rFonts w:ascii="Arial" w:hAnsi="Arial"/>
                <w:b w:val="0"/>
                <w:color w:val="0A192F"/>
                <w:sz w:val="19"/>
              </w:rPr>
              <w:t>KIIN65FC4ARYGKLOBGYFDVUFEFVNOMJTS6E43LMWIOPQVF3PYK7Q</w:t>
            </w:r>
          </w:p>
        </w:tc>
      </w:tr>
      <w:tr>
        <w:tc>
          <w:tcPr>
            <w:tcW w:type="dxa" w:w="3168"/>
            <w:shd w:val="clear" w:color="auto" w:fill="0A192F"/>
          </w:tcPr>
          <w:p>
            <w:r>
              <w:rPr>
                <w:rFonts w:ascii="Arial" w:hAnsi="Arial"/>
                <w:b/>
                <w:color w:val="C5A059"/>
                <w:sz w:val="19"/>
              </w:rPr>
              <w:t>Revision Status:</w:t>
            </w:r>
          </w:p>
        </w:tc>
        <w:tc>
          <w:tcPr>
            <w:tcW w:type="dxa" w:w="6480"/>
            <w:shd w:val="clear" w:color="auto" w:fill="F4F5F7"/>
          </w:tcPr>
          <w:p>
            <w:r>
              <w:rPr>
                <w:rFonts w:ascii="Arial" w:hAnsi="Arial"/>
                <w:b/>
                <w:color w:val="0A192F"/>
                <w:sz w:val="19"/>
              </w:rPr>
              <w:t>All High &amp; Medium Risk Clauses Replaced with Safe Alternatives</w:t>
            </w:r>
          </w:p>
        </w:tc>
      </w:tr>
    </w:tbl>
    <w:p/>
    <w:p>
      <w:pPr>
        <w:pStyle w:val="Heading1"/>
      </w:pPr>
      <w:r>
        <w:rPr>
          <w:rFonts w:ascii="Georgia" w:hAnsi="Georgia"/>
          <w:color w:val="0A192F"/>
        </w:rPr>
        <w:t>1. EXECUTIVE AUDIT SUMMARY</w:t>
      </w:r>
    </w:p>
    <w:p>
      <w:r>
        <w:rPr>
          <w:rFonts w:ascii="Arial" w:hAnsi="Arial"/>
          <w:color w:val="212529"/>
          <w:sz w:val="21"/>
        </w:rPr>
        <w:t>The proposed Service Agreement poses an extremely high legal and financial risk profile for the Client. It features severe asymmetrical terms, including complete disclaimer of liability by the Company, unlimited unilateral indemnification imposed on the Client, impossible auto-renewal notice terms, extreme 10-year worldwide non-compete restrictions, immediate termination without cause for the Company, and complete unilateral control over governing law and dispute resolution venues.</w:t>
      </w:r>
    </w:p>
    <w:p/>
    <w:p>
      <w:pPr>
        <w:pStyle w:val="Heading1"/>
      </w:pPr>
      <w:r>
        <w:rPr>
          <w:rFonts w:ascii="Georgia" w:hAnsi="Georgia"/>
          <w:color w:val="0A192F"/>
        </w:rPr>
        <w:t>2. REVISED CONTRACT TEXT &amp; CLAUSE ALTERNATIVES</w:t>
      </w:r>
    </w:p>
    <w:p>
      <w:r>
        <w:rPr>
          <w:rFonts w:ascii="Arial" w:hAnsi="Arial"/>
          <w:i/>
          <w:sz w:val="20"/>
        </w:rPr>
        <w:t>Below are the revised contract provisions where original high-risk language has been replaced with safer, risk-mitigated legal alternatives.</w:t>
      </w:r>
    </w:p>
    <w:p>
      <w:pPr>
        <w:pStyle w:val="Heading2"/>
      </w:pPr>
      <w:r>
        <w:rPr>
          <w:rFonts w:ascii="Georgia" w:hAnsi="Georgia"/>
          <w:color w:val="C5A059"/>
        </w:rPr>
        <w:t>SECTION #1: ARBITRATION &amp; GOVERNING LAW [HIGH RISK]</w:t>
      </w:r>
    </w:p>
    <w:p>
      <w:r>
        <w:rPr>
          <w:b/>
          <w:color w:val="B42828"/>
          <w:sz w:val="19"/>
        </w:rPr>
        <w:t xml:space="preserve">WHY THIS IS CONSIDERED A RISK (VULNERABILITY): </w:t>
      </w:r>
      <w:r>
        <w:rPr>
          <w:sz w:val="19"/>
        </w:rPr>
        <w:t>Grants the Company sole authority to select dispute venues and governing law while stripping the Client of legal rights to challenge forum selection.</w:t>
      </w:r>
    </w:p>
    <w:p>
      <w:r>
        <w:rPr>
          <w:b/>
          <w:color w:val="0A192F"/>
          <w:sz w:val="20"/>
        </w:rPr>
        <w:t>ALTERNATIVE WAY TO OVERCOME (APPLIED REWORDED CLAUSE):</w:t>
      </w:r>
    </w:p>
    <w:tbl>
      <w:tblPr>
        <w:tblW w:type="auto" w:w="0"/>
        <w:jc w:val="center"/>
        <w:tblLook w:firstColumn="1" w:firstRow="1" w:lastColumn="0" w:lastRow="0" w:noHBand="0" w:noVBand="1" w:val="04A0"/>
      </w:tblPr>
      <w:tblGrid>
        <w:gridCol w:w="9936"/>
      </w:tblGrid>
      <w:tr>
        <w:tc>
          <w:tcPr>
            <w:tcW w:type="dxa" w:w="9648"/>
            <w:shd w:val="clear" w:color="auto" w:fill="0A192F"/>
          </w:tcPr>
          <w:p>
            <w:r>
              <w:rPr>
                <w:rFonts w:ascii="Arial" w:hAnsi="Arial"/>
                <w:b/>
                <w:color w:val="F8F9FA"/>
                <w:sz w:val="20"/>
              </w:rPr>
              <w:t>"Any dispute arising under this Agreement shall be resolved by binding arbitration in [Mutually Agreed Location] under the rules of the American Arbitration Association, and governed by the laws of [Mutually Agreed Jurisdiction]."</w:t>
            </w:r>
          </w:p>
        </w:tc>
      </w:tr>
    </w:tbl>
    <w:p>
      <w:r>
        <w:rPr>
          <w:b/>
          <w:color w:val="646464"/>
          <w:sz w:val="18"/>
        </w:rPr>
        <w:t xml:space="preserve">Superseded Original Contract Text: </w:t>
      </w:r>
      <w:r>
        <w:rPr>
          <w:i/>
          <w:sz w:val="18"/>
        </w:rPr>
        <w:t>"Any dispute shall be resolved exclusively in an arbitration venue selected solely by the Company, and the Client waives the right to challenge the venue."</w:t>
      </w:r>
    </w:p>
    <w:p/>
    <w:p>
      <w:pPr>
        <w:pStyle w:val="Heading2"/>
      </w:pPr>
      <w:r>
        <w:rPr>
          <w:rFonts w:ascii="Georgia" w:hAnsi="Georgia"/>
          <w:color w:val="C5A059"/>
        </w:rPr>
        <w:t>SECTION #2: AUTO-RENEWAL [HIGH RISK]</w:t>
      </w:r>
    </w:p>
    <w:p>
      <w:r>
        <w:rPr>
          <w:b/>
          <w:color w:val="B42828"/>
          <w:sz w:val="19"/>
        </w:rPr>
        <w:t xml:space="preserve">WHY THIS IS CONSIDERED A RISK (VULNERABILITY): </w:t>
      </w:r>
      <w:r>
        <w:rPr>
          <w:sz w:val="19"/>
        </w:rPr>
        <w:t>Requiring 365 days' advance written notice to prevent auto-renewal effectively locks the Client in upon execution.</w:t>
      </w:r>
    </w:p>
    <w:p>
      <w:r>
        <w:rPr>
          <w:b/>
          <w:color w:val="0A192F"/>
          <w:sz w:val="20"/>
        </w:rPr>
        <w:t>ALTERNATIVE WAY TO OVERCOME (APPLIED REWORDED CLAUSE):</w:t>
      </w:r>
    </w:p>
    <w:tbl>
      <w:tblPr>
        <w:tblW w:type="auto" w:w="0"/>
        <w:jc w:val="center"/>
        <w:tblLook w:firstColumn="1" w:firstRow="1" w:lastColumn="0" w:lastRow="0" w:noHBand="0" w:noVBand="1" w:val="04A0"/>
      </w:tblPr>
      <w:tblGrid>
        <w:gridCol w:w="9936"/>
      </w:tblGrid>
      <w:tr>
        <w:tc>
          <w:tcPr>
            <w:tcW w:type="dxa" w:w="9648"/>
            <w:shd w:val="clear" w:color="auto" w:fill="0A192F"/>
          </w:tcPr>
          <w:p>
            <w:r>
              <w:rPr>
                <w:rFonts w:ascii="Arial" w:hAnsi="Arial"/>
                <w:b/>
                <w:color w:val="F8F9FA"/>
                <w:sz w:val="20"/>
              </w:rPr>
              <w:t>"This Agreement shall automatically renew for successive 12-month terms unless either party gives written notice of non-renewal at least thirty (30) days prior to the expiration of the current term."</w:t>
            </w:r>
          </w:p>
        </w:tc>
      </w:tr>
    </w:tbl>
    <w:p>
      <w:r>
        <w:rPr>
          <w:b/>
          <w:color w:val="646464"/>
          <w:sz w:val="18"/>
        </w:rPr>
        <w:t xml:space="preserve">Superseded Original Contract Text: </w:t>
      </w:r>
      <w:r>
        <w:rPr>
          <w:i/>
          <w:sz w:val="18"/>
        </w:rPr>
        <w:t>"This Agreement shall automatically renew every 12 months unless the Client provides written notice at least 365 days before expiration."</w:t>
      </w:r>
    </w:p>
    <w:p/>
    <w:p>
      <w:pPr>
        <w:pStyle w:val="Heading2"/>
      </w:pPr>
      <w:r>
        <w:rPr>
          <w:rFonts w:ascii="Georgia" w:hAnsi="Georgia"/>
          <w:color w:val="C5A059"/>
        </w:rPr>
        <w:t>SECTION #3: IP ASSIGNMENT [HIGH RISK]</w:t>
      </w:r>
    </w:p>
    <w:p>
      <w:r>
        <w:rPr>
          <w:b/>
          <w:color w:val="B42828"/>
          <w:sz w:val="19"/>
        </w:rPr>
        <w:t xml:space="preserve">WHY THIS IS CONSIDERED A RISK (VULNERABILITY): </w:t>
      </w:r>
      <w:r>
        <w:rPr>
          <w:sz w:val="19"/>
        </w:rPr>
        <w:t>Improperly transfers all intellectual property created by the Client to the Company without compensation.</w:t>
      </w:r>
    </w:p>
    <w:p>
      <w:r>
        <w:rPr>
          <w:b/>
          <w:color w:val="0A192F"/>
          <w:sz w:val="20"/>
        </w:rPr>
        <w:t>ALTERNATIVE WAY TO OVERCOME (APPLIED REWORDED CLAUSE):</w:t>
      </w:r>
    </w:p>
    <w:tbl>
      <w:tblPr>
        <w:tblW w:type="auto" w:w="0"/>
        <w:jc w:val="center"/>
        <w:tblLook w:firstColumn="1" w:firstRow="1" w:lastColumn="0" w:lastRow="0" w:noHBand="0" w:noVBand="1" w:val="04A0"/>
      </w:tblPr>
      <w:tblGrid>
        <w:gridCol w:w="9936"/>
      </w:tblGrid>
      <w:tr>
        <w:tc>
          <w:tcPr>
            <w:tcW w:type="dxa" w:w="9648"/>
            <w:shd w:val="clear" w:color="auto" w:fill="0A192F"/>
          </w:tcPr>
          <w:p>
            <w:r>
              <w:rPr>
                <w:rFonts w:ascii="Arial" w:hAnsi="Arial"/>
                <w:b/>
                <w:color w:val="F8F9FA"/>
                <w:sz w:val="20"/>
              </w:rPr>
              <w:t>"Company acknowledges that Client retains full ownership of its pre-existing IP. Upon full payment of service fees, Company assigns to Client all right, title, and interest in and to the custom deliverables explicitly created for Client under this Agreement."</w:t>
            </w:r>
          </w:p>
        </w:tc>
      </w:tr>
    </w:tbl>
    <w:p>
      <w:r>
        <w:rPr>
          <w:b/>
          <w:color w:val="646464"/>
          <w:sz w:val="18"/>
        </w:rPr>
        <w:t xml:space="preserve">Superseded Original Contract Text: </w:t>
      </w:r>
      <w:r>
        <w:rPr>
          <w:i/>
          <w:sz w:val="18"/>
        </w:rPr>
        <w:t>"All intellectual property created by the Client during the engagement shall automatically become the sole property of the Company without additional compensation."</w:t>
      </w:r>
    </w:p>
    <w:p/>
    <w:p>
      <w:pPr>
        <w:pStyle w:val="Heading2"/>
      </w:pPr>
      <w:r>
        <w:rPr>
          <w:rFonts w:ascii="Georgia" w:hAnsi="Georgia"/>
          <w:color w:val="C5A059"/>
        </w:rPr>
        <w:t>SECTION #4: INDEMNITY [HIGH RISK]</w:t>
      </w:r>
    </w:p>
    <w:p>
      <w:r>
        <w:rPr>
          <w:b/>
          <w:color w:val="B42828"/>
          <w:sz w:val="19"/>
        </w:rPr>
        <w:t xml:space="preserve">WHY THIS IS CONSIDERED A RISK (VULNERABILITY): </w:t>
      </w:r>
      <w:r>
        <w:rPr>
          <w:sz w:val="19"/>
        </w:rPr>
        <w:t>Imposes an uncapped, broad, and unilateral indemnification burden on the Client for any and all claims, regardless of fault or causation.</w:t>
      </w:r>
    </w:p>
    <w:p>
      <w:r>
        <w:rPr>
          <w:b/>
          <w:color w:val="0A192F"/>
          <w:sz w:val="20"/>
        </w:rPr>
        <w:t>ALTERNATIVE WAY TO OVERCOME (APPLIED REWORDED CLAUSE):</w:t>
      </w:r>
    </w:p>
    <w:tbl>
      <w:tblPr>
        <w:tblW w:type="auto" w:w="0"/>
        <w:jc w:val="center"/>
        <w:tblLook w:firstColumn="1" w:firstRow="1" w:lastColumn="0" w:lastRow="0" w:noHBand="0" w:noVBand="1" w:val="04A0"/>
      </w:tblPr>
      <w:tblGrid>
        <w:gridCol w:w="9936"/>
      </w:tblGrid>
      <w:tr>
        <w:tc>
          <w:tcPr>
            <w:tcW w:type="dxa" w:w="9648"/>
            <w:shd w:val="clear" w:color="auto" w:fill="0A192F"/>
          </w:tcPr>
          <w:p>
            <w:r>
              <w:rPr>
                <w:rFonts w:ascii="Arial" w:hAnsi="Arial"/>
                <w:b/>
                <w:color w:val="F8F9FA"/>
                <w:sz w:val="20"/>
              </w:rPr>
              <w:t>"Each party agrees to indemnify, defend, and hold harmless the other party from and against third-party claims arising directly from the indemnifying party's gross negligence, willful misconduct, or material breach of this Agreement, subject to agreed liability caps."</w:t>
            </w:r>
          </w:p>
        </w:tc>
      </w:tr>
    </w:tbl>
    <w:p>
      <w:r>
        <w:rPr>
          <w:b/>
          <w:color w:val="646464"/>
          <w:sz w:val="18"/>
        </w:rPr>
        <w:t xml:space="preserve">Superseded Original Contract Text: </w:t>
      </w:r>
      <w:r>
        <w:rPr>
          <w:i/>
          <w:sz w:val="18"/>
        </w:rPr>
        <w:t>"The Client agrees to indemnify and hold harmless the Company against any and all claims, damages, liabilities, losses, and expenses of every kind without limitation."</w:t>
      </w:r>
    </w:p>
    <w:p/>
    <w:p>
      <w:pPr>
        <w:pStyle w:val="Heading2"/>
      </w:pPr>
      <w:r>
        <w:rPr>
          <w:rFonts w:ascii="Georgia" w:hAnsi="Georgia"/>
          <w:color w:val="C5A059"/>
        </w:rPr>
        <w:t>SECTION #5: LIABILITY CAPS [HIGH RISK]</w:t>
      </w:r>
    </w:p>
    <w:p>
      <w:r>
        <w:rPr>
          <w:b/>
          <w:color w:val="B42828"/>
          <w:sz w:val="19"/>
        </w:rPr>
        <w:t xml:space="preserve">WHY THIS IS CONSIDERED A RISK (VULNERABILITY): </w:t>
      </w:r>
      <w:r>
        <w:rPr>
          <w:sz w:val="19"/>
        </w:rPr>
        <w:t>Completely waives all liability for the Company under any circumstance, including direct damages, rendering contractual remedies unenforceable against the Company.</w:t>
      </w:r>
    </w:p>
    <w:p>
      <w:r>
        <w:rPr>
          <w:b/>
          <w:color w:val="0A192F"/>
          <w:sz w:val="20"/>
        </w:rPr>
        <w:t>ALTERNATIVE WAY TO OVERCOME (APPLIED REWORDED CLAUSE):</w:t>
      </w:r>
    </w:p>
    <w:tbl>
      <w:tblPr>
        <w:tblW w:type="auto" w:w="0"/>
        <w:jc w:val="center"/>
        <w:tblLook w:firstColumn="1" w:firstRow="1" w:lastColumn="0" w:lastRow="0" w:noHBand="0" w:noVBand="1" w:val="04A0"/>
      </w:tblPr>
      <w:tblGrid>
        <w:gridCol w:w="9936"/>
      </w:tblGrid>
      <w:tr>
        <w:tc>
          <w:tcPr>
            <w:tcW w:type="dxa" w:w="9648"/>
            <w:shd w:val="clear" w:color="auto" w:fill="0A192F"/>
          </w:tcPr>
          <w:p>
            <w:r>
              <w:rPr>
                <w:rFonts w:ascii="Arial" w:hAnsi="Arial"/>
                <w:b/>
                <w:color w:val="F8F9FA"/>
                <w:sz w:val="20"/>
              </w:rPr>
              <w:t>"Except for breaches of confidentiality or gross negligence, neither party shall be liable for indirect, incidental, or consequential damages. Each party's aggregate liability under this Agreement shall be capped at the total amount of fees paid or payable by Client in the twelve (12) months preceding the claim."</w:t>
            </w:r>
          </w:p>
        </w:tc>
      </w:tr>
    </w:tbl>
    <w:p>
      <w:r>
        <w:rPr>
          <w:b/>
          <w:color w:val="646464"/>
          <w:sz w:val="18"/>
        </w:rPr>
        <w:t xml:space="preserve">Superseded Original Contract Text: </w:t>
      </w:r>
      <w:r>
        <w:rPr>
          <w:i/>
          <w:sz w:val="18"/>
        </w:rPr>
        <w:t>"The Company shall not be liable for any direct, indirect, incidental, consequential, punitive, or special damages under any circumstances."</w:t>
      </w:r>
    </w:p>
    <w:p/>
    <w:p>
      <w:pPr>
        <w:pStyle w:val="Heading2"/>
      </w:pPr>
      <w:r>
        <w:rPr>
          <w:rFonts w:ascii="Georgia" w:hAnsi="Georgia"/>
          <w:color w:val="C5A059"/>
        </w:rPr>
        <w:t>SECTION #6: NON-COMPETE / NON-SOLICIT [HIGH RISK]</w:t>
      </w:r>
    </w:p>
    <w:p>
      <w:r>
        <w:rPr>
          <w:b/>
          <w:color w:val="B42828"/>
          <w:sz w:val="19"/>
        </w:rPr>
        <w:t xml:space="preserve">WHY THIS IS CONSIDERED A RISK (VULNERABILITY): </w:t>
      </w:r>
      <w:r>
        <w:rPr>
          <w:sz w:val="19"/>
        </w:rPr>
        <w:t>A 10-year global non-compete clause imposed on a client is oppressive, likely unenforceable in court, and severely restricts business operations.</w:t>
      </w:r>
    </w:p>
    <w:p>
      <w:r>
        <w:rPr>
          <w:b/>
          <w:color w:val="0A192F"/>
          <w:sz w:val="20"/>
        </w:rPr>
        <w:t>ALTERNATIVE WAY TO OVERCOME (APPLIED REWORDED CLAUSE):</w:t>
      </w:r>
    </w:p>
    <w:tbl>
      <w:tblPr>
        <w:tblW w:type="auto" w:w="0"/>
        <w:jc w:val="center"/>
        <w:tblLook w:firstColumn="1" w:firstRow="1" w:lastColumn="0" w:lastRow="0" w:noHBand="0" w:noVBand="1" w:val="04A0"/>
      </w:tblPr>
      <w:tblGrid>
        <w:gridCol w:w="9936"/>
      </w:tblGrid>
      <w:tr>
        <w:tc>
          <w:tcPr>
            <w:tcW w:type="dxa" w:w="9648"/>
            <w:shd w:val="clear" w:color="auto" w:fill="0A192F"/>
          </w:tcPr>
          <w:p>
            <w:r>
              <w:rPr>
                <w:rFonts w:ascii="Arial" w:hAnsi="Arial"/>
                <w:b/>
                <w:color w:val="F8F9FA"/>
                <w:sz w:val="20"/>
              </w:rPr>
              <w:t>"Delete this clause entirely, or replace it with a standard, mutually agreed 1-year non-solicitation of key personnel."</w:t>
            </w:r>
          </w:p>
        </w:tc>
      </w:tr>
    </w:tbl>
    <w:p>
      <w:r>
        <w:rPr>
          <w:b/>
          <w:color w:val="646464"/>
          <w:sz w:val="18"/>
        </w:rPr>
        <w:t xml:space="preserve">Superseded Original Contract Text: </w:t>
      </w:r>
      <w:r>
        <w:rPr>
          <w:i/>
          <w:sz w:val="18"/>
        </w:rPr>
        <w:t>"The Client agrees not to engage in any competing business anywhere in the world for 10 years after this Agreement ends."</w:t>
      </w:r>
    </w:p>
    <w:p/>
    <w:p>
      <w:pPr>
        <w:pStyle w:val="Heading2"/>
      </w:pPr>
      <w:r>
        <w:rPr>
          <w:rFonts w:ascii="Georgia" w:hAnsi="Georgia"/>
          <w:color w:val="C5A059"/>
        </w:rPr>
        <w:t>SECTION #7: TERMINATION TERMS [HIGH RISK]</w:t>
      </w:r>
    </w:p>
    <w:p>
      <w:r>
        <w:rPr>
          <w:b/>
          <w:color w:val="B42828"/>
          <w:sz w:val="19"/>
        </w:rPr>
        <w:t xml:space="preserve">WHY THIS IS CONSIDERED A RISK (VULNERABILITY): </w:t>
      </w:r>
      <w:r>
        <w:rPr>
          <w:sz w:val="19"/>
        </w:rPr>
        <w:t>Allows the Company to terminate immediately without notice or cause, creating severe business operational risk for the Client while offering no reciprocal termination rights.</w:t>
      </w:r>
    </w:p>
    <w:p>
      <w:r>
        <w:rPr>
          <w:b/>
          <w:color w:val="0A192F"/>
          <w:sz w:val="20"/>
        </w:rPr>
        <w:t>ALTERNATIVE WAY TO OVERCOME (APPLIED REWORDED CLAUSE):</w:t>
      </w:r>
    </w:p>
    <w:tbl>
      <w:tblPr>
        <w:tblW w:type="auto" w:w="0"/>
        <w:jc w:val="center"/>
        <w:tblLook w:firstColumn="1" w:firstRow="1" w:lastColumn="0" w:lastRow="0" w:noHBand="0" w:noVBand="1" w:val="04A0"/>
      </w:tblPr>
      <w:tblGrid>
        <w:gridCol w:w="9936"/>
      </w:tblGrid>
      <w:tr>
        <w:tc>
          <w:tcPr>
            <w:tcW w:type="dxa" w:w="9648"/>
            <w:shd w:val="clear" w:color="auto" w:fill="0A192F"/>
          </w:tcPr>
          <w:p>
            <w:r>
              <w:rPr>
                <w:rFonts w:ascii="Arial" w:hAnsi="Arial"/>
                <w:b/>
                <w:color w:val="F8F9FA"/>
                <w:sz w:val="20"/>
              </w:rPr>
              <w:t>"Either party may terminate this Agreement for convenience upon thirty (30) days' prior written notice to the other party, or immediately upon written notice in the event of a material breach that remains uncured for fifteen (15) days."</w:t>
            </w:r>
          </w:p>
        </w:tc>
      </w:tr>
    </w:tbl>
    <w:p>
      <w:r>
        <w:rPr>
          <w:b/>
          <w:color w:val="646464"/>
          <w:sz w:val="18"/>
        </w:rPr>
        <w:t xml:space="preserve">Superseded Original Contract Text: </w:t>
      </w:r>
      <w:r>
        <w:rPr>
          <w:i/>
          <w:sz w:val="18"/>
        </w:rPr>
        <w:t>"The Company may terminate this Agreement at any time without prior notice or explanation."</w:t>
      </w:r>
    </w:p>
    <w:p/>
    <w:p>
      <w:pPr>
        <w:jc w:val="center"/>
      </w:pPr>
      <w:r>
        <w:rPr>
          <w:rFonts w:ascii="Arial" w:hAnsi="Arial"/>
          <w:i/>
          <w:color w:val="969696"/>
          <w:sz w:val="18"/>
        </w:rPr>
        <w:t>--- End of Revised Contract Document (Generated by ClauseGuard AI)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