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0A192F"/>
          <w:sz w:val="40"/>
        </w:rPr>
        <w:t>CLAUSEGUARD AI - REVISED SAFE CONTRACT</w:t>
      </w:r>
    </w:p>
    <w:p>
      <w:pPr>
        <w:jc w:val="center"/>
      </w:pPr>
      <w:r>
        <w:rPr>
          <w:rFonts w:ascii="Arial" w:hAnsi="Arial"/>
          <w:i/>
          <w:color w:val="C5A059"/>
          <w:sz w:val="22"/>
        </w:rPr>
        <w:t>Original Agreement: Test_NDA_Contract.pdf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0A192F"/>
          </w:tcPr>
          <w:p>
            <w:r>
              <w:rPr>
                <w:rFonts w:ascii="Arial" w:hAnsi="Arial"/>
                <w:b/>
                <w:color w:val="C5A059"/>
                <w:sz w:val="19"/>
              </w:rPr>
              <w:t>Overall Risk Profile:</w:t>
            </w:r>
          </w:p>
        </w:tc>
        <w:tc>
          <w:tcPr>
            <w:tcW w:type="dxa" w:w="6480"/>
            <w:shd w:val="clear" w:color="auto" w:fill="F4F5F7"/>
          </w:tcPr>
          <w:p>
            <w:r>
              <w:rPr>
                <w:rFonts w:ascii="Arial" w:hAnsi="Arial"/>
                <w:b/>
                <w:color w:val="0A192F"/>
                <w:sz w:val="19"/>
              </w:rPr>
              <w:t>HIGH</w:t>
            </w:r>
          </w:p>
        </w:tc>
      </w:tr>
      <w:tr>
        <w:tc>
          <w:tcPr>
            <w:tcW w:type="dxa" w:w="3168"/>
            <w:shd w:val="clear" w:color="auto" w:fill="0A192F"/>
          </w:tcPr>
          <w:p>
            <w:r>
              <w:rPr>
                <w:rFonts w:ascii="Arial" w:hAnsi="Arial"/>
                <w:b/>
                <w:color w:val="C5A059"/>
                <w:sz w:val="19"/>
              </w:rPr>
              <w:t>Audit Verification:</w:t>
            </w:r>
          </w:p>
        </w:tc>
        <w:tc>
          <w:tcPr>
            <w:tcW w:type="dxa" w:w="6480"/>
            <w:shd w:val="clear" w:color="auto" w:fill="F4F5F7"/>
          </w:tcPr>
          <w:p>
            <w:r>
              <w:rPr>
                <w:rFonts w:ascii="Arial" w:hAnsi="Arial"/>
                <w:b w:val="0"/>
                <w:color w:val="0A192F"/>
                <w:sz w:val="19"/>
              </w:rPr>
              <w:t>Verified via Algorand TestNet x402 Micropayment Gate</w:t>
            </w:r>
          </w:p>
        </w:tc>
      </w:tr>
      <w:tr>
        <w:tc>
          <w:tcPr>
            <w:tcW w:type="dxa" w:w="3168"/>
            <w:shd w:val="clear" w:color="auto" w:fill="0A192F"/>
          </w:tcPr>
          <w:p>
            <w:r>
              <w:rPr>
                <w:rFonts w:ascii="Arial" w:hAnsi="Arial"/>
                <w:b/>
                <w:color w:val="C5A059"/>
                <w:sz w:val="19"/>
              </w:rPr>
              <w:t>On-Chain Proof TxID:</w:t>
            </w:r>
          </w:p>
        </w:tc>
        <w:tc>
          <w:tcPr>
            <w:tcW w:type="dxa" w:w="6480"/>
            <w:shd w:val="clear" w:color="auto" w:fill="F4F5F7"/>
          </w:tcPr>
          <w:p>
            <w:r>
              <w:rPr>
                <w:rFonts w:ascii="Arial" w:hAnsi="Arial"/>
                <w:b w:val="0"/>
                <w:color w:val="0A192F"/>
                <w:sz w:val="19"/>
              </w:rPr>
              <w:t>TXID123456789</w:t>
            </w:r>
          </w:p>
        </w:tc>
      </w:tr>
      <w:tr>
        <w:tc>
          <w:tcPr>
            <w:tcW w:type="dxa" w:w="3168"/>
            <w:shd w:val="clear" w:color="auto" w:fill="0A192F"/>
          </w:tcPr>
          <w:p>
            <w:r>
              <w:rPr>
                <w:rFonts w:ascii="Arial" w:hAnsi="Arial"/>
                <w:b/>
                <w:color w:val="C5A059"/>
                <w:sz w:val="19"/>
              </w:rPr>
              <w:t>Revision Status:</w:t>
            </w:r>
          </w:p>
        </w:tc>
        <w:tc>
          <w:tcPr>
            <w:tcW w:type="dxa" w:w="6480"/>
            <w:shd w:val="clear" w:color="auto" w:fill="F4F5F7"/>
          </w:tcPr>
          <w:p>
            <w:r>
              <w:rPr>
                <w:rFonts w:ascii="Arial" w:hAnsi="Arial"/>
                <w:b/>
                <w:color w:val="0A192F"/>
                <w:sz w:val="19"/>
              </w:rPr>
              <w:t>All High &amp; Medium Risk Clauses Replaced with Safe Alternatives</w:t>
            </w:r>
          </w:p>
        </w:tc>
      </w:tr>
    </w:tbl>
    <w:p/>
    <w:p>
      <w:pPr>
        <w:pStyle w:val="Heading1"/>
      </w:pPr>
      <w:r>
        <w:rPr>
          <w:rFonts w:ascii="Georgia" w:hAnsi="Georgia"/>
          <w:color w:val="0A192F"/>
        </w:rPr>
        <w:t>1. EXECUTIVE AUDIT SUMMARY</w:t>
      </w:r>
    </w:p>
    <w:p>
      <w:r>
        <w:rPr>
          <w:rFonts w:ascii="Arial" w:hAnsi="Arial"/>
          <w:color w:val="212529"/>
          <w:sz w:val="21"/>
        </w:rPr>
        <w:t>Summary text</w:t>
      </w:r>
    </w:p>
    <w:p/>
    <w:p>
      <w:pPr>
        <w:pStyle w:val="Heading1"/>
      </w:pPr>
      <w:r>
        <w:rPr>
          <w:rFonts w:ascii="Georgia" w:hAnsi="Georgia"/>
          <w:color w:val="0A192F"/>
        </w:rPr>
        <w:t>2. REVISED CONTRACT TEXT &amp; CLAUSE ALTERNATIVES</w:t>
      </w:r>
    </w:p>
    <w:p>
      <w:r>
        <w:rPr>
          <w:rFonts w:ascii="Arial" w:hAnsi="Arial"/>
          <w:i/>
          <w:sz w:val="20"/>
        </w:rPr>
        <w:t>Below are the revised contract provisions where original high-risk language has been replaced with safer, risk-mitigated legal alternatives.</w:t>
      </w:r>
    </w:p>
    <w:p>
      <w:pPr>
        <w:pStyle w:val="Heading2"/>
      </w:pPr>
      <w:r>
        <w:rPr>
          <w:rFonts w:ascii="Georgia" w:hAnsi="Georgia"/>
          <w:color w:val="C5A059"/>
        </w:rPr>
        <w:t>SECTION #1: INDEMNITY [HIGH RISK]</w:t>
      </w:r>
    </w:p>
    <w:p>
      <w:r>
        <w:rPr>
          <w:b/>
          <w:color w:val="B42828"/>
          <w:sz w:val="19"/>
        </w:rPr>
        <w:t xml:space="preserve">WHY THIS IS CONSIDERED A RISK (VULNERABILITY): </w:t>
      </w:r>
      <w:r>
        <w:rPr>
          <w:sz w:val="19"/>
        </w:rPr>
        <w:t>Uncapped unilateral liability</w:t>
      </w:r>
    </w:p>
    <w:p>
      <w:r>
        <w:rPr>
          <w:b/>
          <w:color w:val="0A192F"/>
          <w:sz w:val="20"/>
        </w:rPr>
        <w:t>ALTERNATIVE WAY TO OVERCOME (APPLIED REWORDED CLAUSE):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val="clear" w:color="auto" w:fill="0A192F"/>
          </w:tcPr>
          <w:p>
            <w:r>
              <w:rPr>
                <w:rFonts w:ascii="Arial" w:hAnsi="Arial"/>
                <w:b/>
                <w:color w:val="F8F9FA"/>
                <w:sz w:val="20"/>
              </w:rPr>
              <w:t>"Mutual indemnity capped at 12 months fees."</w:t>
            </w:r>
          </w:p>
        </w:tc>
      </w:tr>
    </w:tbl>
    <w:p>
      <w:r>
        <w:rPr>
          <w:b/>
          <w:color w:val="646464"/>
          <w:sz w:val="18"/>
        </w:rPr>
        <w:t xml:space="preserve">Superseded Original Contract Text: </w:t>
      </w:r>
      <w:r>
        <w:rPr>
          <w:i/>
          <w:sz w:val="18"/>
        </w:rPr>
        <w:t>"Client shall indemnify provider without limit."</w:t>
      </w:r>
    </w:p>
    <w:p/>
    <w:p>
      <w:pPr>
        <w:pStyle w:val="Heading2"/>
      </w:pPr>
      <w:r>
        <w:rPr>
          <w:rFonts w:ascii="Georgia" w:hAnsi="Georgia"/>
          <w:color w:val="0A192F"/>
        </w:rPr>
        <w:t>SECTION #2: AUTO-RENEWAL [MEDIUM RISK]</w:t>
      </w:r>
    </w:p>
    <w:p>
      <w:r>
        <w:rPr>
          <w:b/>
          <w:color w:val="B42828"/>
          <w:sz w:val="19"/>
        </w:rPr>
        <w:t xml:space="preserve">WHY THIS IS CONSIDERED A RISK (VULNERABILITY): </w:t>
      </w:r>
      <w:r>
        <w:rPr>
          <w:sz w:val="19"/>
        </w:rPr>
        <w:t>120-day notice window</w:t>
      </w:r>
    </w:p>
    <w:p>
      <w:r>
        <w:rPr>
          <w:b/>
          <w:color w:val="0A192F"/>
          <w:sz w:val="20"/>
        </w:rPr>
        <w:t>ALTERNATIVE WAY TO OVERCOME (APPLIED REWORDED CLAUSE):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val="clear" w:color="auto" w:fill="0A192F"/>
          </w:tcPr>
          <w:p>
            <w:r>
              <w:rPr>
                <w:rFonts w:ascii="Arial" w:hAnsi="Arial"/>
                <w:b/>
                <w:color w:val="F8F9FA"/>
                <w:sz w:val="20"/>
              </w:rPr>
              <w:t>"30-day written notice prior to term expiration."</w:t>
            </w:r>
          </w:p>
        </w:tc>
      </w:tr>
    </w:tbl>
    <w:p>
      <w:r>
        <w:rPr>
          <w:b/>
          <w:color w:val="646464"/>
          <w:sz w:val="18"/>
        </w:rPr>
        <w:t xml:space="preserve">Superseded Original Contract Text: </w:t>
      </w:r>
      <w:r>
        <w:rPr>
          <w:i/>
          <w:sz w:val="18"/>
        </w:rPr>
        <w:t>"Renews automatically unless 120 days notice given."</w:t>
      </w:r>
    </w:p>
    <w:p/>
    <w:p>
      <w:pPr>
        <w:jc w:val="center"/>
      </w:pPr>
      <w:r>
        <w:rPr>
          <w:rFonts w:ascii="Arial" w:hAnsi="Arial"/>
          <w:i/>
          <w:color w:val="969696"/>
          <w:sz w:val="18"/>
        </w:rPr>
        <w:t>--- End of Revised Contract Document (Generated by ClauseGuard AI) ---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