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0A192F"/>
          <w:sz w:val="40"/>
        </w:rPr>
        <w:t>CLAUSEGUARD AI - REVISED SAFE CONTRACT</w:t>
      </w:r>
    </w:p>
    <w:p>
      <w:pPr>
        <w:jc w:val="center"/>
      </w:pPr>
      <w:r>
        <w:rPr>
          <w:rFonts w:ascii="Arial" w:hAnsi="Arial"/>
          <w:i/>
          <w:color w:val="C5A059"/>
          <w:sz w:val="22"/>
        </w:rPr>
        <w:t>Original Agreement: ClauseGuard_Sample_High_Risk_Service_Agreement.docx</w:t>
      </w:r>
    </w:p>
    <w:p/>
    <w:tbl>
      <w:tblPr>
        <w:tblW w:type="auto" w:w="0"/>
        <w:jc w:val="center"/>
        <w:tblLayout w:type="fixed"/>
        <w:tblLook w:firstColumn="1" w:firstRow="1" w:lastColumn="0" w:lastRow="0" w:noHBand="0" w:noVBand="1" w:val="04A0"/>
      </w:tblPr>
      <w:tblGrid>
        <w:gridCol w:w="4968"/>
        <w:gridCol w:w="4968"/>
      </w:tblGrid>
      <w:tr>
        <w:tc>
          <w:tcPr>
            <w:tcW w:type="dxa" w:w="3168"/>
            <w:shd w:val="clear" w:color="auto" w:fill="0A192F"/>
          </w:tcPr>
          <w:p>
            <w:r>
              <w:rPr>
                <w:rFonts w:ascii="Arial" w:hAnsi="Arial"/>
                <w:b/>
                <w:color w:val="C5A059"/>
                <w:sz w:val="19"/>
              </w:rPr>
              <w:t>Overall Risk Profile:</w:t>
            </w:r>
          </w:p>
        </w:tc>
        <w:tc>
          <w:tcPr>
            <w:tcW w:type="dxa" w:w="6480"/>
            <w:shd w:val="clear" w:color="auto" w:fill="F4F5F7"/>
          </w:tcPr>
          <w:p>
            <w:r>
              <w:rPr>
                <w:rFonts w:ascii="Arial" w:hAnsi="Arial"/>
                <w:b/>
                <w:color w:val="0A192F"/>
                <w:sz w:val="19"/>
              </w:rPr>
              <w:t>HIGH</w:t>
            </w:r>
          </w:p>
        </w:tc>
      </w:tr>
      <w:tr>
        <w:tc>
          <w:tcPr>
            <w:tcW w:type="dxa" w:w="3168"/>
            <w:shd w:val="clear" w:color="auto" w:fill="0A192F"/>
          </w:tcPr>
          <w:p>
            <w:r>
              <w:rPr>
                <w:rFonts w:ascii="Arial" w:hAnsi="Arial"/>
                <w:b/>
                <w:color w:val="C5A059"/>
                <w:sz w:val="19"/>
              </w:rPr>
              <w:t>Audit Verification:</w:t>
            </w:r>
          </w:p>
        </w:tc>
        <w:tc>
          <w:tcPr>
            <w:tcW w:type="dxa" w:w="6480"/>
            <w:shd w:val="clear" w:color="auto" w:fill="F4F5F7"/>
          </w:tcPr>
          <w:p>
            <w:r>
              <w:rPr>
                <w:rFonts w:ascii="Arial" w:hAnsi="Arial"/>
                <w:b w:val="0"/>
                <w:color w:val="0A192F"/>
                <w:sz w:val="19"/>
              </w:rPr>
              <w:t>Verified via Algorand TestNet x402 Micropayment Gate</w:t>
            </w:r>
          </w:p>
        </w:tc>
      </w:tr>
      <w:tr>
        <w:tc>
          <w:tcPr>
            <w:tcW w:type="dxa" w:w="3168"/>
            <w:shd w:val="clear" w:color="auto" w:fill="0A192F"/>
          </w:tcPr>
          <w:p>
            <w:r>
              <w:rPr>
                <w:rFonts w:ascii="Arial" w:hAnsi="Arial"/>
                <w:b/>
                <w:color w:val="C5A059"/>
                <w:sz w:val="19"/>
              </w:rPr>
              <w:t>On-Chain Proof TxID:</w:t>
            </w:r>
          </w:p>
        </w:tc>
        <w:tc>
          <w:tcPr>
            <w:tcW w:type="dxa" w:w="6480"/>
            <w:shd w:val="clear" w:color="auto" w:fill="F4F5F7"/>
          </w:tcPr>
          <w:p>
            <w:r>
              <w:rPr>
                <w:rFonts w:ascii="Arial" w:hAnsi="Arial"/>
                <w:b w:val="0"/>
                <w:color w:val="0A192F"/>
                <w:sz w:val="19"/>
              </w:rPr>
              <w:t>YABHFGTCEAZNMCODA4QR4K7IVEV2F2NTCO2PEBGHWHJ6Z6KLPCVA</w:t>
            </w:r>
          </w:p>
        </w:tc>
      </w:tr>
      <w:tr>
        <w:tc>
          <w:tcPr>
            <w:tcW w:type="dxa" w:w="3168"/>
            <w:shd w:val="clear" w:color="auto" w:fill="0A192F"/>
          </w:tcPr>
          <w:p>
            <w:r>
              <w:rPr>
                <w:rFonts w:ascii="Arial" w:hAnsi="Arial"/>
                <w:b/>
                <w:color w:val="C5A059"/>
                <w:sz w:val="19"/>
              </w:rPr>
              <w:t>Revision Status:</w:t>
            </w:r>
          </w:p>
        </w:tc>
        <w:tc>
          <w:tcPr>
            <w:tcW w:type="dxa" w:w="6480"/>
            <w:shd w:val="clear" w:color="auto" w:fill="F4F5F7"/>
          </w:tcPr>
          <w:p>
            <w:r>
              <w:rPr>
                <w:rFonts w:ascii="Arial" w:hAnsi="Arial"/>
                <w:b/>
                <w:color w:val="0A192F"/>
                <w:sz w:val="19"/>
              </w:rPr>
              <w:t>All High &amp; Medium Risk Clauses Replaced with Safe Alternatives</w:t>
            </w:r>
          </w:p>
        </w:tc>
      </w:tr>
    </w:tbl>
    <w:p/>
    <w:p>
      <w:pPr>
        <w:pStyle w:val="Heading1"/>
      </w:pPr>
      <w:r>
        <w:rPr>
          <w:rFonts w:ascii="Georgia" w:hAnsi="Georgia"/>
          <w:color w:val="0A192F"/>
        </w:rPr>
        <w:t>1. EXECUTIVE AUDIT SUMMARY</w:t>
      </w:r>
    </w:p>
    <w:p>
      <w:r>
        <w:rPr>
          <w:rFonts w:ascii="Arial" w:hAnsi="Arial"/>
          <w:color w:val="212529"/>
          <w:sz w:val="21"/>
        </w:rPr>
        <w:t>This Agreement presents an extraordinarily high risk profile for the Client. It contains severe, one-sided provisions favoring the Company, including immediate unilateral termination rights, uncapped client indemnification, total disclaimer of Company liability, broad IP assignment of Client assets, an impossible 365-day auto-renewal cancellation requirement, an unenforceable 10-year worldwide non-compete, and unilateral control over dispute forums and governing law. Rejection or substantial renegotiation of these terms is strongly advised.</w:t>
      </w:r>
    </w:p>
    <w:p/>
    <w:p>
      <w:pPr>
        <w:pStyle w:val="Heading1"/>
      </w:pPr>
      <w:r>
        <w:rPr>
          <w:rFonts w:ascii="Georgia" w:hAnsi="Georgia"/>
          <w:color w:val="0A192F"/>
        </w:rPr>
        <w:t>2. REVISED CONTRACT TEXT &amp; CLAUSE ALTERNATIVES</w:t>
      </w:r>
    </w:p>
    <w:p>
      <w:r>
        <w:rPr>
          <w:rFonts w:ascii="Arial" w:hAnsi="Arial"/>
          <w:i/>
          <w:sz w:val="20"/>
        </w:rPr>
        <w:t>Below are the revised contract provisions where original high-risk language has been replaced with safer, risk-mitigated legal alternatives.</w:t>
      </w:r>
    </w:p>
    <w:p>
      <w:pPr>
        <w:pStyle w:val="Heading2"/>
      </w:pPr>
      <w:r>
        <w:rPr>
          <w:rFonts w:ascii="Georgia" w:hAnsi="Georgia"/>
          <w:color w:val="C5A059"/>
        </w:rPr>
        <w:t>SECTION #1: ARBITRATION &amp; GOVERNING LAW [HIGH RISK]</w:t>
      </w:r>
    </w:p>
    <w:p>
      <w:r>
        <w:rPr>
          <w:b/>
          <w:color w:val="B42828"/>
          <w:sz w:val="19"/>
        </w:rPr>
        <w:t xml:space="preserve">WHY THIS IS CONSIDERED A RISK (VULNERABILITY): </w:t>
      </w:r>
      <w:r>
        <w:rPr>
          <w:sz w:val="19"/>
        </w:rPr>
        <w:t>Grants the Company complete unilateral authority to choose the arbitration venue without allowing the Client to challenge unfair locations.</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"Any dispute arising under this Agreement shall be resolved by binding arbitration in a mutually agreed neutral location under the commercial arbitration rules of the American Arbitration Association."</w:t>
            </w:r>
          </w:p>
        </w:tc>
      </w:tr>
    </w:tbl>
    <w:p>
      <w:r>
        <w:rPr>
          <w:b/>
          <w:color w:val="646464"/>
          <w:sz w:val="18"/>
        </w:rPr>
        <w:t xml:space="preserve">Superseded Original Contract Text: </w:t>
      </w:r>
      <w:r>
        <w:rPr>
          <w:i/>
          <w:sz w:val="18"/>
        </w:rPr>
        <w:t>"Any dispute shall be resolved exclusively in an arbitration venue selected solely by the Company, and the Client waives the right to challenge the venue."</w:t>
      </w:r>
    </w:p>
    <w:p/>
    <w:p>
      <w:pPr>
        <w:pStyle w:val="Heading2"/>
      </w:pPr>
      <w:r>
        <w:rPr>
          <w:rFonts w:ascii="Georgia" w:hAnsi="Georgia"/>
          <w:color w:val="C5A059"/>
        </w:rPr>
        <w:t>SECTION #2: ARBITRATION &amp; GOVERNING LAW [HIGH RISK]</w:t>
      </w:r>
    </w:p>
    <w:p>
      <w:r>
        <w:rPr>
          <w:b/>
          <w:color w:val="B42828"/>
          <w:sz w:val="19"/>
        </w:rPr>
        <w:t xml:space="preserve">WHY THIS IS CONSIDERED A RISK (VULNERABILITY): </w:t>
      </w:r>
      <w:r>
        <w:rPr>
          <w:sz w:val="19"/>
        </w:rPr>
        <w:t>Allows the Company to arbitrarily decide governing law at its sole discretion, creating significant legal unpredictability for the Client.</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"This Agreement shall be governed by and construed in accordance with the laws of [Insert Designated Jurisdiction], without giving effect to conflict of law principles."</w:t>
            </w:r>
          </w:p>
        </w:tc>
      </w:tr>
    </w:tbl>
    <w:p>
      <w:r>
        <w:rPr>
          <w:b/>
          <w:color w:val="646464"/>
          <w:sz w:val="18"/>
        </w:rPr>
        <w:t xml:space="preserve">Superseded Original Contract Text: </w:t>
      </w:r>
      <w:r>
        <w:rPr>
          <w:i/>
          <w:sz w:val="18"/>
        </w:rPr>
        <w:t>"This Agreement shall be governed by the laws chosen solely by the Company at its discretion."</w:t>
      </w:r>
    </w:p>
    <w:p/>
    <w:p>
      <w:pPr>
        <w:pStyle w:val="Heading2"/>
      </w:pPr>
      <w:r>
        <w:rPr>
          <w:rFonts w:ascii="Georgia" w:hAnsi="Georgia"/>
          <w:color w:val="C5A059"/>
        </w:rPr>
        <w:t>SECTION #3: AUTO-RENEWAL [HIGH RISK]</w:t>
      </w:r>
    </w:p>
    <w:p>
      <w:r>
        <w:rPr>
          <w:b/>
          <w:color w:val="B42828"/>
          <w:sz w:val="19"/>
        </w:rPr>
        <w:t xml:space="preserve">WHY THIS IS CONSIDERED A RISK (VULNERABILITY): </w:t>
      </w:r>
      <w:r>
        <w:rPr>
          <w:sz w:val="19"/>
        </w:rPr>
        <w:t>Requires a 365-day opt-out notice, effectively forcing automatic renewal immediately upon entering the agreement.</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"This Agreement shall automatically renew for successive 12-month periods unless either party provides written notice of non-renewal at least thirty (30) days prior to the end of the current term."</w:t>
            </w:r>
          </w:p>
        </w:tc>
      </w:tr>
    </w:tbl>
    <w:p>
      <w:r>
        <w:rPr>
          <w:b/>
          <w:color w:val="646464"/>
          <w:sz w:val="18"/>
        </w:rPr>
        <w:t xml:space="preserve">Superseded Original Contract Text: </w:t>
      </w:r>
      <w:r>
        <w:rPr>
          <w:i/>
          <w:sz w:val="18"/>
        </w:rPr>
        <w:t>"This Agreement shall automatically renew every 12 months unless the Client provides written notice at least 365 days before expiration."</w:t>
      </w:r>
    </w:p>
    <w:p/>
    <w:p>
      <w:pPr>
        <w:pStyle w:val="Heading2"/>
      </w:pPr>
      <w:r>
        <w:rPr>
          <w:rFonts w:ascii="Georgia" w:hAnsi="Georgia"/>
          <w:color w:val="0A192F"/>
        </w:rPr>
        <w:t>SECTION #4: CONFIDENTIALITY [MEDIUM RISK]</w:t>
      </w:r>
    </w:p>
    <w:p>
      <w:r>
        <w:rPr>
          <w:b/>
          <w:color w:val="B42828"/>
          <w:sz w:val="19"/>
        </w:rPr>
        <w:t xml:space="preserve">WHY THIS IS CONSIDERED A RISK (VULNERABILITY): </w:t>
      </w:r>
      <w:r>
        <w:rPr>
          <w:sz w:val="19"/>
        </w:rPr>
        <w:t>Imposes a non-mutual 25-year confidentiality obligation solely on the Client, which is excessively long for standard business communications.</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"Both parties agree to protect confidential information disclosed under this Agreement for a period of three (3) years following termination."</w:t>
            </w:r>
          </w:p>
        </w:tc>
      </w:tr>
    </w:tbl>
    <w:p>
      <w:r>
        <w:rPr>
          <w:b/>
          <w:color w:val="646464"/>
          <w:sz w:val="18"/>
        </w:rPr>
        <w:t xml:space="preserve">Superseded Original Contract Text: </w:t>
      </w:r>
      <w:r>
        <w:rPr>
          <w:i/>
          <w:sz w:val="18"/>
        </w:rPr>
        <w:t>"The Client shall keep all Company information confidential for a period of 25 years after termination."</w:t>
      </w:r>
    </w:p>
    <w:p/>
    <w:p>
      <w:pPr>
        <w:pStyle w:val="Heading2"/>
      </w:pPr>
      <w:r>
        <w:rPr>
          <w:rFonts w:ascii="Georgia" w:hAnsi="Georgia"/>
          <w:color w:val="C5A059"/>
        </w:rPr>
        <w:t>SECTION #5: IP ASSIGNMENT [HIGH RISK]</w:t>
      </w:r>
    </w:p>
    <w:p>
      <w:r>
        <w:rPr>
          <w:b/>
          <w:color w:val="B42828"/>
          <w:sz w:val="19"/>
        </w:rPr>
        <w:t xml:space="preserve">WHY THIS IS CONSIDERED A RISK (VULNERABILITY): </w:t>
      </w:r>
      <w:r>
        <w:rPr>
          <w:sz w:val="19"/>
        </w:rPr>
        <w:t>Automatically transfers ownership of all intellectual property created by the Client during the engagement to the Company, potentially capturing the Client's pre-existing IP or unrelated work product.</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"The Client retains all right, title, and interest in its pre-existing IP. Upon full payment of fees, the Client shall own all custom deliverables created specifically for the Client under this Agreement."</w:t>
            </w:r>
          </w:p>
        </w:tc>
      </w:tr>
    </w:tbl>
    <w:p>
      <w:r>
        <w:rPr>
          <w:b/>
          <w:color w:val="646464"/>
          <w:sz w:val="18"/>
        </w:rPr>
        <w:t xml:space="preserve">Superseded Original Contract Text: </w:t>
      </w:r>
      <w:r>
        <w:rPr>
          <w:i/>
          <w:sz w:val="18"/>
        </w:rPr>
        <w:t>"All intellectual property created by the Client during the engagement shall automatically become the sole property of the Company without additional compensation."</w:t>
      </w:r>
    </w:p>
    <w:p/>
    <w:p>
      <w:pPr>
        <w:pStyle w:val="Heading2"/>
      </w:pPr>
      <w:r>
        <w:rPr>
          <w:rFonts w:ascii="Georgia" w:hAnsi="Georgia"/>
          <w:color w:val="C5A059"/>
        </w:rPr>
        <w:t>SECTION #6: INDEMNITY [HIGH RISK]</w:t>
      </w:r>
    </w:p>
    <w:p>
      <w:r>
        <w:rPr>
          <w:b/>
          <w:color w:val="B42828"/>
          <w:sz w:val="19"/>
        </w:rPr>
        <w:t xml:space="preserve">WHY THIS IS CONSIDERED A RISK (VULNERABILITY): </w:t>
      </w:r>
      <w:r>
        <w:rPr>
          <w:sz w:val="19"/>
        </w:rPr>
        <w:t>Imposes broad, uncapped, and unilateral indemnification obligations solely on the Client for all claims and expenses, regardless of fault.</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"Each party agrees to indemnify and hold harmless the other party from third-party claims arising directly out of its gross negligence, willful misconduct, or material breach of this Agreement, subject to Section 6."</w:t>
            </w:r>
          </w:p>
        </w:tc>
      </w:tr>
    </w:tbl>
    <w:p>
      <w:r>
        <w:rPr>
          <w:b/>
          <w:color w:val="646464"/>
          <w:sz w:val="18"/>
        </w:rPr>
        <w:t xml:space="preserve">Superseded Original Contract Text: </w:t>
      </w:r>
      <w:r>
        <w:rPr>
          <w:i/>
          <w:sz w:val="18"/>
        </w:rPr>
        <w:t>"The Client agrees to indemnify and hold harmless the Company against any and all claims, damages, liabilities, losses, and expenses of every kind without limitation."</w:t>
      </w:r>
    </w:p>
    <w:p/>
    <w:p>
      <w:pPr>
        <w:pStyle w:val="Heading2"/>
      </w:pPr>
      <w:r>
        <w:rPr>
          <w:rFonts w:ascii="Georgia" w:hAnsi="Georgia"/>
          <w:color w:val="C5A059"/>
        </w:rPr>
        <w:t>SECTION #7: LIABILITY CAPS [HIGH RISK]</w:t>
      </w:r>
    </w:p>
    <w:p>
      <w:r>
        <w:rPr>
          <w:b/>
          <w:color w:val="B42828"/>
          <w:sz w:val="19"/>
        </w:rPr>
        <w:t xml:space="preserve">WHY THIS IS CONSIDERED A RISK (VULNERABILITY): </w:t>
      </w:r>
      <w:r>
        <w:rPr>
          <w:sz w:val="19"/>
        </w:rPr>
        <w:t>Completely disclaims all Company liability (including direct damages), shifting 100% of the operational and financial risk to the Client.</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"Except for indemnification obligations or breaches of confidentiality, neither party's total aggregate liability shall exceed the total service fees paid by Client under this Agreement in the 12 months preceding the claim."</w:t>
            </w:r>
          </w:p>
        </w:tc>
      </w:tr>
    </w:tbl>
    <w:p>
      <w:r>
        <w:rPr>
          <w:b/>
          <w:color w:val="646464"/>
          <w:sz w:val="18"/>
        </w:rPr>
        <w:t xml:space="preserve">Superseded Original Contract Text: </w:t>
      </w:r>
      <w:r>
        <w:rPr>
          <w:i/>
          <w:sz w:val="18"/>
        </w:rPr>
        <w:t>"The Company shall not be liable for any direct, indirect, incidental, consequential, punitive, or special damages under any circumstances."</w:t>
      </w:r>
    </w:p>
    <w:p/>
    <w:p>
      <w:pPr>
        <w:pStyle w:val="Heading2"/>
      </w:pPr>
      <w:r>
        <w:rPr>
          <w:rFonts w:ascii="Georgia" w:hAnsi="Georgia"/>
          <w:color w:val="C5A059"/>
        </w:rPr>
        <w:t>SECTION #8: NON-COMPETE / NON-SOLICIT [HIGH RISK]</w:t>
      </w:r>
    </w:p>
    <w:p>
      <w:r>
        <w:rPr>
          <w:b/>
          <w:color w:val="B42828"/>
          <w:sz w:val="19"/>
        </w:rPr>
        <w:t xml:space="preserve">WHY THIS IS CONSIDERED A RISK (VULNERABILITY): </w:t>
      </w:r>
      <w:r>
        <w:rPr>
          <w:sz w:val="19"/>
        </w:rPr>
        <w:t>Enforces a 10-year worldwide restriction on the Client competing with the Company, which is unreasonable in scope, duration, and geographic reach.</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"Delete this section entirely, or limit it to a 1-year non-solicitation restriction of Company personnel involved in rendering the Services."</w:t>
            </w:r>
          </w:p>
        </w:tc>
      </w:tr>
    </w:tbl>
    <w:p>
      <w:r>
        <w:rPr>
          <w:b/>
          <w:color w:val="646464"/>
          <w:sz w:val="18"/>
        </w:rPr>
        <w:t xml:space="preserve">Superseded Original Contract Text: </w:t>
      </w:r>
      <w:r>
        <w:rPr>
          <w:i/>
          <w:sz w:val="18"/>
        </w:rPr>
        <w:t>"The Client agrees not to engage in any competing business anywhere in the world for 10 years after this Agreement ends."</w:t>
      </w:r>
    </w:p>
    <w:p/>
    <w:p>
      <w:pPr>
        <w:pStyle w:val="Heading2"/>
      </w:pPr>
      <w:r>
        <w:rPr>
          <w:rFonts w:ascii="Georgia" w:hAnsi="Georgia"/>
          <w:color w:val="C5A059"/>
        </w:rPr>
        <w:t>SECTION #9: TERMINATION TERMS [HIGH RISK]</w:t>
      </w:r>
    </w:p>
    <w:p>
      <w:r>
        <w:rPr>
          <w:b/>
          <w:color w:val="B42828"/>
          <w:sz w:val="19"/>
        </w:rPr>
        <w:t xml:space="preserve">WHY THIS IS CONSIDERED A RISK (VULNERABILITY): </w:t>
      </w:r>
      <w:r>
        <w:rPr>
          <w:sz w:val="19"/>
        </w:rPr>
        <w:t>Allows the Company to terminate immediately without cause or notice, leaving the Client vulnerable to sudden disruption without recourse.</w:t>
      </w:r>
    </w:p>
    <w:p>
      <w:r>
        <w:rPr>
          <w:b/>
          <w:color w:val="0A192F"/>
          <w:sz w:val="20"/>
        </w:rPr>
        <w:t>ALTERNATIVE WAY TO OVERCOME (APPLIED REWORDED CLAUSE):</w:t>
      </w:r>
    </w:p>
    <w:tbl>
      <w:tblPr>
        <w:tblW w:type="auto" w:w="0"/>
        <w:jc w:val="center"/>
        <w:tblLook w:firstColumn="1" w:firstRow="1" w:lastColumn="0" w:lastRow="0" w:noHBand="0" w:noVBand="1" w:val="04A0"/>
      </w:tblPr>
      <w:tblGrid>
        <w:gridCol w:w="9936"/>
      </w:tblGrid>
      <w:tr>
        <w:tc>
          <w:tcPr>
            <w:tcW w:type="dxa" w:w="9648"/>
            <w:shd w:val="clear" w:color="auto" w:fill="0A192F"/>
          </w:tcPr>
          <w:p>
            <w:r>
              <w:rPr>
                <w:rFonts w:ascii="Arial" w:hAnsi="Arial"/>
                <w:b/>
                <w:color w:val="F8F9FA"/>
                <w:sz w:val="20"/>
              </w:rPr>
              <w:t>"Either party may terminate this Agreement for convenience upon providing at least thirty (30) days' prior written notice to the other party."</w:t>
            </w:r>
          </w:p>
        </w:tc>
      </w:tr>
    </w:tbl>
    <w:p>
      <w:r>
        <w:rPr>
          <w:b/>
          <w:color w:val="646464"/>
          <w:sz w:val="18"/>
        </w:rPr>
        <w:t xml:space="preserve">Superseded Original Contract Text: </w:t>
      </w:r>
      <w:r>
        <w:rPr>
          <w:i/>
          <w:sz w:val="18"/>
        </w:rPr>
        <w:t>"The Company may terminate this Agreement at any time without prior notice or explanation."</w:t>
      </w:r>
    </w:p>
    <w:p/>
    <w:p>
      <w:pPr>
        <w:jc w:val="center"/>
      </w:pPr>
      <w:r>
        <w:rPr>
          <w:rFonts w:ascii="Arial" w:hAnsi="Arial"/>
          <w:i/>
          <w:color w:val="969696"/>
          <w:sz w:val="18"/>
        </w:rPr>
        <w:t>--- End of Revised Contract Document (Generated by ClauseGuard AI)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