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24"/>
          <w:szCs w:val="24"/>
        </w:rPr>
        <w:t xml:space="preserve"/>
      </w:r>
    </w:p>
    <w:p>
      <w:pPr>
        <w:spacing w:after="80" w:before="0"/>
        <w:jc w:val="center"/>
      </w:pPr>
      <w:r>
        <w:rPr>
          <w:rFonts w:ascii="Arial" w:cs="Arial" w:eastAsia="Arial" w:hAnsi="Arial"/>
          <w:b/>
          <w:bCs/>
          <w:color w:val="0D1B2A"/>
          <w:sz w:val="72"/>
          <w:szCs w:val="72"/>
        </w:rPr>
        <w:t xml:space="preserve">AEGIS</w:t>
      </w:r>
    </w:p>
    <w:p>
      <w:pPr>
        <w:spacing w:after="80" w:before="0"/>
        <w:jc w:val="center"/>
      </w:pPr>
      <w:r>
        <w:rPr>
          <w:rFonts w:ascii="Arial" w:cs="Arial" w:eastAsia="Arial" w:hAnsi="Arial"/>
          <w:b/>
          <w:bCs/>
          <w:color w:val="1B4F72"/>
          <w:sz w:val="32"/>
          <w:szCs w:val="32"/>
        </w:rPr>
        <w:t xml:space="preserve">Multi-Agent Semantic Threat Evaluation &amp; Reconstruction</w:t>
      </w:r>
    </w:p>
    <w:p>
      <w:pPr>
        <w:spacing w:after="480" w:before="0"/>
        <w:jc w:val="center"/>
      </w:pPr>
      <w:r>
        <w:rPr>
          <w:rFonts w:ascii="Arial" w:cs="Arial" w:eastAsia="Arial" w:hAnsi="Arial"/>
          <w:i/>
          <w:iCs/>
          <w:color w:val="566573"/>
          <w:sz w:val="24"/>
          <w:szCs w:val="24"/>
        </w:rPr>
        <w:t xml:space="preserve">Comprehensive Technical Evaluation &amp; Updated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0D1B2A" w:val="clear"/>
            <w:tcMar>
              <w:top w:type="dxa" w:w="120"/>
              <w:left w:type="dxa" w:w="160"/>
              <w:bottom w:type="dxa" w:w="120"/>
              <w:right w:type="dxa" w:w="160"/>
            </w:tcMar>
          </w:tcPr>
          <w:p>
            <w:pPr>
              <w:jc w:val="center"/>
            </w:pPr>
            <w:r>
              <w:rPr>
                <w:rFonts w:ascii="Arial" w:cs="Arial" w:eastAsia="Arial" w:hAnsi="Arial"/>
                <w:b/>
                <w:bCs/>
                <w:color w:val="85C1E9"/>
                <w:sz w:val="18"/>
                <w:szCs w:val="18"/>
              </w:rPr>
              <w:t xml:space="preserve">Theme</w:t>
            </w:r>
          </w:p>
          <w:p>
            <w:pPr>
              <w:jc w:val="center"/>
            </w:pPr>
            <w:r>
              <w:rPr>
                <w:rFonts w:ascii="Arial" w:cs="Arial" w:eastAsia="Arial" w:hAnsi="Arial"/>
                <w:color w:val="FFFFFF"/>
                <w:sz w:val="20"/>
                <w:szCs w:val="20"/>
              </w:rPr>
              <w:t xml:space="preserve">Productivity Platforms</w:t>
            </w:r>
          </w:p>
        </w:tc>
        <w:tc>
          <w:tcPr>
            <w:tcW w:type="dxa" w:w="3120"/>
            <w:tcBorders>
              <w:top w:val="single" w:color="AED6F1" w:sz="1"/>
              <w:left w:val="single" w:color="AED6F1" w:sz="1"/>
              <w:bottom w:val="single" w:color="AED6F1" w:sz="1"/>
              <w:right w:val="single" w:color="AED6F1" w:sz="1"/>
            </w:tcBorders>
            <w:shd w:fill="1B4F72" w:val="clear"/>
            <w:tcMar>
              <w:top w:type="dxa" w:w="120"/>
              <w:left w:type="dxa" w:w="160"/>
              <w:bottom w:type="dxa" w:w="120"/>
              <w:right w:type="dxa" w:w="160"/>
            </w:tcMar>
          </w:tcPr>
          <w:p>
            <w:pPr>
              <w:jc w:val="center"/>
            </w:pPr>
            <w:r>
              <w:rPr>
                <w:rFonts w:ascii="Arial" w:cs="Arial" w:eastAsia="Arial" w:hAnsi="Arial"/>
                <w:b/>
                <w:bCs/>
                <w:color w:val="85C1E9"/>
                <w:sz w:val="18"/>
                <w:szCs w:val="18"/>
              </w:rPr>
              <w:t xml:space="preserve">Framework</w:t>
            </w:r>
          </w:p>
          <w:p>
            <w:pPr>
              <w:jc w:val="center"/>
            </w:pPr>
            <w:r>
              <w:rPr>
                <w:rFonts w:ascii="Arial" w:cs="Arial" w:eastAsia="Arial" w:hAnsi="Arial"/>
                <w:color w:val="FFFFFF"/>
                <w:sz w:val="20"/>
                <w:szCs w:val="20"/>
              </w:rPr>
              <w:t xml:space="preserve">OpenClaw (Node.js/TS)</w:t>
            </w:r>
          </w:p>
        </w:tc>
        <w:tc>
          <w:tcPr>
            <w:tcW w:type="dxa" w:w="3120"/>
            <w:tcBorders>
              <w:top w:val="single" w:color="AED6F1" w:sz="1"/>
              <w:left w:val="single" w:color="AED6F1" w:sz="1"/>
              <w:bottom w:val="single" w:color="AED6F1" w:sz="1"/>
              <w:right w:val="single" w:color="AED6F1" w:sz="1"/>
            </w:tcBorders>
            <w:shd w:fill="2E86C1" w:val="clear"/>
            <w:tcMar>
              <w:top w:type="dxa" w:w="120"/>
              <w:left w:type="dxa" w:w="160"/>
              <w:bottom w:type="dxa" w:w="120"/>
              <w:right w:type="dxa" w:w="160"/>
            </w:tcMar>
          </w:tcPr>
          <w:p>
            <w:pPr>
              <w:jc w:val="center"/>
            </w:pPr>
            <w:r>
              <w:rPr>
                <w:rFonts w:ascii="Arial" w:cs="Arial" w:eastAsia="Arial" w:hAnsi="Arial"/>
                <w:b/>
                <w:bCs/>
                <w:color w:val="D6EAF8"/>
                <w:sz w:val="18"/>
                <w:szCs w:val="18"/>
              </w:rPr>
              <w:t xml:space="preserve">Viability Score</w:t>
            </w:r>
          </w:p>
          <w:p>
            <w:pPr>
              <w:jc w:val="center"/>
            </w:pPr>
            <w:r>
              <w:rPr>
                <w:rFonts w:ascii="Arial" w:cs="Arial" w:eastAsia="Arial" w:hAnsi="Arial"/>
                <w:b/>
                <w:bCs/>
                <w:color w:val="FFFFFF"/>
                <w:sz w:val="24"/>
                <w:szCs w:val="24"/>
              </w:rPr>
              <w:t xml:space="preserve">7.5 / 10</w:t>
            </w:r>
          </w:p>
        </w:tc>
      </w:tr>
    </w:tbl>
    <w:p>
      <w:pPr>
        <w:spacing w:after="0" w:before="0"/>
      </w:pPr>
      <w:r>
        <w:t xml:space="preserve"/>
      </w:r>
    </w:p>
    <w:p>
      <w:pPr>
        <w:spacing w:after="0" w:before="0"/>
      </w:pPr>
      <w:r>
        <w:t xml:space="preserve"/>
      </w:r>
    </w:p>
    <w:p>
      <w:pPr>
        <w:spacing w:after="0" w:before="0"/>
        <w:jc w:val="center"/>
      </w:pPr>
      <w:r>
        <w:rPr>
          <w:rFonts w:ascii="Arial" w:cs="Arial" w:eastAsia="Arial" w:hAnsi="Arial"/>
          <w:i/>
          <w:iCs/>
          <w:color w:val="566573"/>
          <w:sz w:val="18"/>
          <w:szCs w:val="18"/>
        </w:rPr>
        <w:t xml:space="preserve">RV College of Engineering  •  PRISM Hackathon 2026  •  Cognitive Ops</w:t>
      </w:r>
    </w:p>
    <w:p>
      <w:r>
        <w:br w:type="page"/>
      </w:r>
    </w:p>
    <w:p>
      <w:pPr>
        <w:spacing w:after="40" w:before="0"/>
      </w:pPr>
      <w:r>
        <w:rPr>
          <w:rFonts w:ascii="Arial" w:cs="Arial" w:eastAsia="Arial" w:hAnsi="Arial"/>
          <w:b/>
          <w:bCs/>
          <w:color w:val="566573"/>
          <w:sz w:val="18"/>
          <w:szCs w:val="18"/>
        </w:rPr>
        <w:t xml:space="preserve">PART I</w:t>
      </w:r>
    </w:p>
    <w:p>
      <w:pPr>
        <w:pBdr>
          <w:bottom w:val="single" w:color="2E86C1" w:sz="12" w:space="6"/>
        </w:pBdr>
        <w:spacing w:after="80" w:before="0"/>
      </w:pPr>
      <w:r>
        <w:rPr>
          <w:rFonts w:ascii="Arial" w:cs="Arial" w:eastAsia="Arial" w:hAnsi="Arial"/>
          <w:b/>
          <w:bCs/>
          <w:color w:val="0D1B2A"/>
          <w:sz w:val="40"/>
          <w:szCs w:val="40"/>
        </w:rPr>
        <w:t xml:space="preserve">Architectural Evaluation Report</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1. Feasibility Assessment</w:t>
      </w:r>
    </w:p>
    <w:p>
      <w:pPr>
        <w:pStyle w:val="Heading2"/>
        <w:spacing w:after="80" w:before="240"/>
      </w:pPr>
      <w:r>
        <w:rPr>
          <w:rFonts w:ascii="Arial" w:cs="Arial" w:eastAsia="Arial" w:hAnsi="Arial"/>
          <w:b/>
          <w:bCs/>
          <w:color w:val="1B4F72"/>
          <w:sz w:val="28"/>
          <w:szCs w:val="28"/>
        </w:rPr>
        <w:t xml:space="preserve">1.1 Technical Feasibility</w:t>
      </w:r>
    </w:p>
    <w:p>
      <w:pPr>
        <w:spacing w:after="80" w:before="0"/>
      </w:pPr>
      <w:r>
        <w:rPr>
          <w:rFonts w:ascii="Arial" w:cs="Arial" w:eastAsia="Arial" w:hAnsi="Arial"/>
          <w:b w:val="false"/>
          <w:bCs w:val="false"/>
          <w:color w:val="0D1B2A"/>
          <w:sz w:val="22"/>
          <w:szCs w:val="22"/>
        </w:rPr>
        <w:t xml:space="preserve">The AEGIS framework is technically grounded on established, mature components. The core pipeline — log ingestion, embedding generation, vector similarity search, and LLM-driven narrative synthesis — maps cleanly onto available open-source tooling. However, the interaction of these components under real-world latency and concurrency constraints introduces two critical bottlenecks that could compromise the system's viability if left unaddressed.</w:t>
      </w:r>
    </w:p>
    <w:p>
      <w:pPr>
        <w:spacing w:after="0" w:before="0"/>
      </w:pPr>
      <w:r>
        <w:t xml:space="preserve"/>
      </w:r>
    </w:p>
    <w:p>
      <w:pPr>
        <w:pStyle w:val="Heading3"/>
        <w:spacing w:after="60" w:before="160"/>
      </w:pPr>
      <w:r>
        <w:rPr>
          <w:rFonts w:ascii="Arial" w:cs="Arial" w:eastAsia="Arial" w:hAnsi="Arial"/>
          <w:b/>
          <w:bCs/>
          <w:color w:val="2E86C1"/>
          <w:sz w:val="24"/>
          <w:szCs w:val="24"/>
        </w:rPr>
        <w:t xml:space="preserve">Bottleneck 1: Embedding Throughput vs. Sub-Second Triage Claim</w:t>
      </w:r>
    </w:p>
    <w:p>
      <w:pPr>
        <w:spacing w:after="80" w:before="0"/>
      </w:pPr>
      <w:r>
        <w:rPr>
          <w:rFonts w:ascii="Arial" w:cs="Arial" w:eastAsia="Arial" w:hAnsi="Arial"/>
          <w:b w:val="false"/>
          <w:bCs w:val="false"/>
          <w:color w:val="0D1B2A"/>
          <w:sz w:val="22"/>
          <w:szCs w:val="22"/>
        </w:rPr>
        <w:t xml:space="preserve">The blueprint claims sub-second triage latency while simultaneously running BGE-m3 embedding on every anomalous log entry. This is internally contradictory. BGE-m3 on CPU requires 200–800 ms per embedding pass depending on token length and hardware. At a modest triage flag rate of 5% across a 500-event/second log stream, the embedding queue saturates within 60–90 seconds. The document references CUDA offloading only as a scaling footnote in Section 5, when it should be the primary architectural constraint driving all GPU provisioning decisions from Day 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FIX</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Explicitly size the GPU as a first-class dependency. Target RTX 3060 (12GB VRAM) minimum. Implement dynamic batching on the embedding pipeline to process 8–16 log chunks per GPU call. Expose embedding throughput as a live KPI on the SOC dashboard.</w:t>
            </w:r>
          </w:p>
        </w:tc>
      </w:tr>
    </w:tbl>
    <w:p>
      <w:pPr>
        <w:spacing w:after="0" w:before="0"/>
      </w:pPr>
      <w:r>
        <w:t xml:space="preserve"/>
      </w:r>
    </w:p>
    <w:p>
      <w:pPr>
        <w:pStyle w:val="Heading3"/>
        <w:spacing w:after="60" w:before="160"/>
      </w:pPr>
      <w:r>
        <w:rPr>
          <w:rFonts w:ascii="Arial" w:cs="Arial" w:eastAsia="Arial" w:hAnsi="Arial"/>
          <w:b/>
          <w:bCs/>
          <w:color w:val="2E86C1"/>
          <w:sz w:val="24"/>
          <w:szCs w:val="24"/>
        </w:rPr>
        <w:t xml:space="preserve">Bottleneck 2: Agent Chain End-to-End Latency</w:t>
      </w:r>
    </w:p>
    <w:p>
      <w:pPr>
        <w:spacing w:after="80" w:before="0"/>
      </w:pPr>
      <w:r>
        <w:rPr>
          <w:rFonts w:ascii="Arial" w:cs="Arial" w:eastAsia="Arial" w:hAnsi="Arial"/>
          <w:b w:val="false"/>
          <w:bCs w:val="false"/>
          <w:color w:val="0D1B2A"/>
          <w:sz w:val="22"/>
          <w:szCs w:val="22"/>
        </w:rPr>
        <w:t xml:space="preserve">The Triage → Correlation → Timeline agent chain involves context serialization, vector query, and a full Qwen 2.5 inference call at each hop. On capable edge hardware with quantized Qwen 2.5 (Q4_K_M), realistic end-to-end latency for a full forensic narrative is 8–25 seconds. This is not a flaw — but it must be framed correctly. AEGIS is a deep investigation and reconstruction tool, not a real-time blocking layer. The narrative pitch must match the technical reality, or judges will perceive the architecture as failing at its stated goal.</w:t>
      </w:r>
    </w:p>
    <w:p>
      <w:pPr>
        <w:spacing w:after="0" w:before="0"/>
      </w:pPr>
      <w:r>
        <w:t xml:space="preserve"/>
      </w:r>
    </w:p>
    <w:p>
      <w:pPr>
        <w:pStyle w:val="Heading3"/>
        <w:spacing w:after="60" w:before="160"/>
      </w:pPr>
      <w:r>
        <w:rPr>
          <w:rFonts w:ascii="Arial" w:cs="Arial" w:eastAsia="Arial" w:hAnsi="Arial"/>
          <w:b/>
          <w:bCs/>
          <w:color w:val="2E86C1"/>
          <w:sz w:val="24"/>
          <w:szCs w:val="24"/>
        </w:rPr>
        <w:t xml:space="preserve">Verdict on Technical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Log ingestion pipeline</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Fully feasible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Low</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ChromaDB + HNSW indexing</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Fully feasible</w:t>
            </w:r>
          </w:p>
        </w:tc>
        <w:tc>
          <w:tcPr>
            <w:tcW w:type="dxa" w:w="34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Low</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BGE-m3 embedding generation</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Feasible with GPU</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Medium</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Qwen 2.5 timeline synthesis</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Feasible, 8–25s latency</w:t>
            </w:r>
          </w:p>
        </w:tc>
        <w:tc>
          <w:tcPr>
            <w:tcW w:type="dxa" w:w="34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Medium</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Multi-agent handoff chain</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Feasible, needs queue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High</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Zero-cloud offline operation</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Fully feasible</w:t>
            </w:r>
          </w:p>
        </w:tc>
        <w:tc>
          <w:tcPr>
            <w:tcW w:type="dxa" w:w="34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Low</w:t>
            </w:r>
          </w:p>
        </w:tc>
      </w:tr>
    </w:tbl>
    <w:p>
      <w:pPr>
        <w:spacing w:after="0" w:before="0"/>
      </w:pPr>
      <w:r>
        <w:t xml:space="preserve"/>
      </w:r>
    </w:p>
    <w:p>
      <w:pPr>
        <w:pStyle w:val="Heading2"/>
        <w:spacing w:after="80" w:before="240"/>
      </w:pPr>
      <w:r>
        <w:rPr>
          <w:rFonts w:ascii="Arial" w:cs="Arial" w:eastAsia="Arial" w:hAnsi="Arial"/>
          <w:b/>
          <w:bCs/>
          <w:color w:val="1B4F72"/>
          <w:sz w:val="28"/>
          <w:szCs w:val="28"/>
        </w:rPr>
        <w:t xml:space="preserve">1.2 Implementation Reality Check</w:t>
      </w:r>
    </w:p>
    <w:p>
      <w:pPr>
        <w:spacing w:after="80" w:before="0"/>
      </w:pPr>
      <w:r>
        <w:rPr>
          <w:rFonts w:ascii="Arial" w:cs="Arial" w:eastAsia="Arial" w:hAnsi="Arial"/>
          <w:b w:val="false"/>
          <w:bCs w:val="false"/>
          <w:color w:val="0D1B2A"/>
          <w:sz w:val="22"/>
          <w:szCs w:val="22"/>
        </w:rPr>
        <w:t xml:space="preserve">The four-week PRISM hackathon timeline (April 24 – May 20, 2026) is achievable only if scope is disciplined. Each individual component is a solved engineering problem; the challenge is integration velocity. The Phase 1 MVP milestone (autonomous anomaly detection + Telegram alert) is realistic in Week 1. The semantic correlation pipeline in Week 2 is aggressive but achievable. The risk is that the Graph Construction Agent — mentioned architecturally but never designed — will be deprioritized and omitted, which would weaken the live demo significantly.</w:t>
      </w:r>
    </w:p>
    <w:p>
      <w:pPr>
        <w:pStyle w:val="ListParagraph"/>
        <w:numPr>
          <w:ilvl w:val="0"/>
          <w:numId w:val="2"/>
        </w:numPr>
        <w:spacing w:after="60" w:before="0"/>
      </w:pPr>
      <w:r>
        <w:rPr>
          <w:rFonts w:ascii="Arial" w:cs="Arial" w:eastAsia="Arial" w:hAnsi="Arial"/>
          <w:b/>
          <w:bCs/>
          <w:color w:val="0D1B2A"/>
          <w:sz w:val="22"/>
          <w:szCs w:val="22"/>
        </w:rPr>
        <w:t xml:space="preserve">Critical Path: </w:t>
      </w:r>
      <w:r>
        <w:rPr>
          <w:rFonts w:ascii="Arial" w:cs="Arial" w:eastAsia="Arial" w:hAnsi="Arial"/>
          <w:b w:val="false"/>
          <w:bCs w:val="false"/>
          <w:color w:val="0D1B2A"/>
          <w:sz w:val="22"/>
          <w:szCs w:val="22"/>
        </w:rPr>
        <w:t xml:space="preserve">Embedding pipeline → OpenClaw SKILL.md contracts → Qwen 2.5 JSON-mode integration</w:t>
      </w:r>
    </w:p>
    <w:p>
      <w:pPr>
        <w:pStyle w:val="ListParagraph"/>
        <w:numPr>
          <w:ilvl w:val="0"/>
          <w:numId w:val="2"/>
        </w:numPr>
        <w:spacing w:after="60" w:before="0"/>
      </w:pPr>
      <w:r>
        <w:rPr>
          <w:rFonts w:ascii="Arial" w:cs="Arial" w:eastAsia="Arial" w:hAnsi="Arial"/>
          <w:b/>
          <w:bCs/>
          <w:color w:val="0D1B2A"/>
          <w:sz w:val="22"/>
          <w:szCs w:val="22"/>
        </w:rPr>
        <w:t xml:space="preserve">Highest Drop Risk: </w:t>
      </w:r>
      <w:r>
        <w:rPr>
          <w:rFonts w:ascii="Arial" w:cs="Arial" w:eastAsia="Arial" w:hAnsi="Arial"/>
          <w:b w:val="false"/>
          <w:bCs w:val="false"/>
          <w:color w:val="0D1B2A"/>
          <w:sz w:val="22"/>
          <w:szCs w:val="22"/>
        </w:rPr>
        <w:t xml:space="preserve">Knowledge graph visualization (D3.js/Cytoscape.js UI) and MITRE ATT&amp;CK mapping</w:t>
      </w:r>
    </w:p>
    <w:p>
      <w:pPr>
        <w:pStyle w:val="ListParagraph"/>
        <w:numPr>
          <w:ilvl w:val="0"/>
          <w:numId w:val="2"/>
        </w:numPr>
        <w:spacing w:after="60" w:before="0"/>
      </w:pPr>
      <w:r>
        <w:rPr>
          <w:rFonts w:ascii="Arial" w:cs="Arial" w:eastAsia="Arial" w:hAnsi="Arial"/>
          <w:b/>
          <w:bCs/>
          <w:color w:val="0D1B2A"/>
          <w:sz w:val="22"/>
          <w:szCs w:val="22"/>
        </w:rPr>
        <w:t xml:space="preserve">Recommendation: </w:t>
      </w:r>
      <w:r>
        <w:rPr>
          <w:rFonts w:ascii="Arial" w:cs="Arial" w:eastAsia="Arial" w:hAnsi="Arial"/>
          <w:b w:val="false"/>
          <w:bCs w:val="false"/>
          <w:color w:val="0D1B2A"/>
          <w:sz w:val="22"/>
          <w:szCs w:val="22"/>
        </w:rPr>
        <w:t xml:space="preserve">Allocate 20% of total development time as a buffer. Scope the graph to a read-only static render for the demo if the dynamic version slips.</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2. Potential Impact &amp; Value Proposition</w:t>
      </w:r>
    </w:p>
    <w:p>
      <w:pPr>
        <w:pStyle w:val="Heading2"/>
        <w:spacing w:after="80" w:before="240"/>
      </w:pPr>
      <w:r>
        <w:rPr>
          <w:rFonts w:ascii="Arial" w:cs="Arial" w:eastAsia="Arial" w:hAnsi="Arial"/>
          <w:b/>
          <w:bCs/>
          <w:color w:val="1B4F72"/>
          <w:sz w:val="28"/>
          <w:szCs w:val="28"/>
        </w:rPr>
        <w:t xml:space="preserve">2.1 Market &amp; Real-World Value</w:t>
      </w:r>
    </w:p>
    <w:p>
      <w:pPr>
        <w:spacing w:after="80" w:before="0"/>
      </w:pPr>
      <w:r>
        <w:rPr>
          <w:rFonts w:ascii="Arial" w:cs="Arial" w:eastAsia="Arial" w:hAnsi="Arial"/>
          <w:b w:val="false"/>
          <w:bCs w:val="false"/>
          <w:color w:val="0D1B2A"/>
          <w:sz w:val="22"/>
          <w:szCs w:val="22"/>
        </w:rPr>
        <w:t xml:space="preserve">Alert fatigue in Security Operations Centers is one of the most extensively documented and commercially damaging problems in enterprise cybersecurity. The average enterprise SOC processes 10,000–100,000 alerts daily; industry benchmarks show meaningful investigation of fewer than 50% of these. The downstream cost is real: missed detections, lateral movement dwell times averaging 197 days (IBM Cost of a Data Breach Report), and analyst burnout driving 40%+ annual SOC attrition rates.</w:t>
      </w:r>
    </w:p>
    <w:p>
      <w:pPr>
        <w:spacing w:after="0" w:before="0"/>
      </w:pPr>
      <w:r>
        <w:t xml:space="preserve"/>
      </w:r>
    </w:p>
    <w:p>
      <w:pPr>
        <w:spacing w:after="80" w:before="0"/>
      </w:pPr>
      <w:r>
        <w:rPr>
          <w:rFonts w:ascii="Arial" w:cs="Arial" w:eastAsia="Arial" w:hAnsi="Arial"/>
          <w:b w:val="false"/>
          <w:bCs w:val="false"/>
          <w:color w:val="0D1B2A"/>
          <w:sz w:val="22"/>
          <w:szCs w:val="22"/>
        </w:rPr>
        <w:t xml:space="preserve">AEGIS's fully offline, edge-deployed multi-agent architecture is genuinely differentiated. Elastic SIEM, Microsoft Sentinel Fusion, and Securonix all perform behavioral clustering — but they are cloud-dependent, expensive at scale, and produce raw alert clusters rather than human-readable forensic narratives. The specific combination of local LLM reasoning + agent orchestration + messaging-layer delivery to produce a narrative on the analyst's phone is a novel workflow that no commercial product offers today for air-gapped or SME environments.</w:t>
      </w:r>
    </w:p>
    <w:p>
      <w:pPr>
        <w:spacing w:after="0" w:before="0"/>
      </w:pPr>
      <w:r>
        <w:t xml:space="preserve"/>
      </w:r>
    </w:p>
    <w:p>
      <w:pPr>
        <w:pStyle w:val="Heading2"/>
        <w:spacing w:after="80" w:before="240"/>
      </w:pPr>
      <w:r>
        <w:rPr>
          <w:rFonts w:ascii="Arial" w:cs="Arial" w:eastAsia="Arial" w:hAnsi="Arial"/>
          <w:b/>
          <w:bCs/>
          <w:color w:val="1B4F72"/>
          <w:sz w:val="28"/>
          <w:szCs w:val="28"/>
        </w:rPr>
        <w:t xml:space="preserve">2.2 Scalability &amp; SDG Alignment</w:t>
      </w:r>
    </w:p>
    <w:p>
      <w:pPr>
        <w:spacing w:after="80" w:before="0"/>
      </w:pPr>
      <w:r>
        <w:rPr>
          <w:rFonts w:ascii="Arial" w:cs="Arial" w:eastAsia="Arial" w:hAnsi="Arial"/>
          <w:b w:val="false"/>
          <w:bCs w:val="false"/>
          <w:color w:val="0D1B2A"/>
          <w:sz w:val="22"/>
          <w:szCs w:val="22"/>
        </w:rPr>
        <w:t xml:space="preserve">The architecture scales horizontally via Kafka/Redis Streams for log ingestion and vertically via CUDA batching for embeddings. The hot/cold ChromaDB tiering strategy correctly addresses long-term vector store memory saturation. The system aligns with UN SDG 9 (Industry, Innovation, and Infrastructure) by providing enterprise-grade threat intelligence tooling at edge-hardware cost points accessible to SMEs and organizations in emerging markets that cannot afford cloud SIEM licensing.</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3. Critical Flaws &amp; Blind Spots</w:t>
      </w:r>
    </w:p>
    <w:p>
      <w:pPr>
        <w:pStyle w:val="Heading2"/>
        <w:spacing w:after="80" w:before="240"/>
      </w:pPr>
      <w:r>
        <w:rPr>
          <w:rFonts w:ascii="Arial" w:cs="Arial" w:eastAsia="Arial" w:hAnsi="Arial"/>
          <w:b/>
          <w:bCs/>
          <w:color w:val="1B4F72"/>
          <w:sz w:val="28"/>
          <w:szCs w:val="28"/>
        </w:rPr>
        <w:t xml:space="preserve">3.1 Concurrency: The Unaddressed Race Condition</w:t>
      </w:r>
    </w:p>
    <w:p>
      <w:pPr>
        <w:spacing w:after="80" w:before="0"/>
      </w:pPr>
      <w:r>
        <w:rPr>
          <w:rFonts w:ascii="Arial" w:cs="Arial" w:eastAsia="Arial" w:hAnsi="Arial"/>
          <w:b w:val="false"/>
          <w:bCs w:val="false"/>
          <w:color w:val="0D1B2A"/>
          <w:sz w:val="22"/>
          <w:szCs w:val="22"/>
        </w:rPr>
        <w:t xml:space="preserve">Two high-severity anomalies arriving within milliseconds — which is statistically certain during an active intrusion — both trigger the full agent chain simultaneously. Without a mutex, semaphore, or priority queue, concurrent Timeline Agent invocations against the same Qwen 2.5 Ollama instance will either queue and compound latency or contend for shared Cognitive RAM state, producing corrupted or interleaved forensic narratives. This is not a hypothetical edge case; it is the normal behavior of an active attack. The blueprint has no described resolution.</w:t>
      </w:r>
    </w:p>
    <w:p>
      <w:pPr>
        <w:spacing w:after="0" w:before="0"/>
      </w:pPr>
      <w:r>
        <w:t xml:space="preserve"/>
      </w:r>
    </w:p>
    <w:p>
      <w:pPr>
        <w:pStyle w:val="Heading2"/>
        <w:spacing w:after="80" w:before="240"/>
      </w:pPr>
      <w:r>
        <w:rPr>
          <w:rFonts w:ascii="Arial" w:cs="Arial" w:eastAsia="Arial" w:hAnsi="Arial"/>
          <w:b/>
          <w:bCs/>
          <w:color w:val="1B4F72"/>
          <w:sz w:val="28"/>
          <w:szCs w:val="28"/>
        </w:rPr>
        <w:t xml:space="preserve">3.2 Agentic Failure Modes — No Recovery Path</w:t>
      </w:r>
    </w:p>
    <w:p>
      <w:pPr>
        <w:spacing w:after="80" w:before="0"/>
      </w:pPr>
      <w:r>
        <w:rPr>
          <w:rFonts w:ascii="Arial" w:cs="Arial" w:eastAsia="Arial" w:hAnsi="Arial"/>
          <w:b w:val="false"/>
          <w:bCs w:val="false"/>
          <w:color w:val="0D1B2A"/>
          <w:sz w:val="22"/>
          <w:szCs w:val="22"/>
        </w:rPr>
        <w:t xml:space="preserve">The most dangerous gap in the current documentation is the complete absence of failure-mode handling for the agent chain. For a forensic system used as evidence for incident response decisions, the following scenarios have no described recovery path:</w:t>
      </w:r>
    </w:p>
    <w:p>
      <w:pPr>
        <w:pStyle w:val="ListParagraph"/>
        <w:numPr>
          <w:ilvl w:val="0"/>
          <w:numId w:val="2"/>
        </w:numPr>
        <w:spacing w:after="60" w:before="0"/>
      </w:pPr>
      <w:r>
        <w:rPr>
          <w:rFonts w:ascii="Arial" w:cs="Arial" w:eastAsia="Arial" w:hAnsi="Arial"/>
          <w:b/>
          <w:bCs/>
          <w:color w:val="0D1B2A"/>
          <w:sz w:val="22"/>
          <w:szCs w:val="22"/>
        </w:rPr>
        <w:t xml:space="preserve">Malformed JSON from Qwen 2.5: </w:t>
      </w:r>
      <w:r>
        <w:rPr>
          <w:rFonts w:ascii="Arial" w:cs="Arial" w:eastAsia="Arial" w:hAnsi="Arial"/>
          <w:b w:val="false"/>
          <w:bCs w:val="false"/>
          <w:color w:val="0D1B2A"/>
          <w:sz w:val="22"/>
          <w:szCs w:val="22"/>
        </w:rPr>
        <w:t xml:space="preserve">The timeline schema parser crashes with no retry logic.</w:t>
      </w:r>
    </w:p>
    <w:p>
      <w:pPr>
        <w:pStyle w:val="ListParagraph"/>
        <w:numPr>
          <w:ilvl w:val="0"/>
          <w:numId w:val="2"/>
        </w:numPr>
        <w:spacing w:after="60" w:before="0"/>
      </w:pPr>
      <w:r>
        <w:rPr>
          <w:rFonts w:ascii="Arial" w:cs="Arial" w:eastAsia="Arial" w:hAnsi="Arial"/>
          <w:b/>
          <w:bCs/>
          <w:color w:val="0D1B2A"/>
          <w:sz w:val="22"/>
          <w:szCs w:val="22"/>
        </w:rPr>
        <w:t xml:space="preserve">Cold-start correlation failure: </w:t>
      </w:r>
      <w:r>
        <w:rPr>
          <w:rFonts w:ascii="Arial" w:cs="Arial" w:eastAsia="Arial" w:hAnsi="Arial"/>
          <w:b w:val="false"/>
          <w:bCs w:val="false"/>
          <w:color w:val="0D1B2A"/>
          <w:sz w:val="22"/>
          <w:szCs w:val="22"/>
        </w:rPr>
        <w:t xml:space="preserve">Zero semantic matches on a fresh deployment with empty vector store.</w:t>
      </w:r>
    </w:p>
    <w:p>
      <w:pPr>
        <w:pStyle w:val="ListParagraph"/>
        <w:numPr>
          <w:ilvl w:val="0"/>
          <w:numId w:val="2"/>
        </w:numPr>
        <w:spacing w:after="60" w:before="0"/>
      </w:pPr>
      <w:r>
        <w:rPr>
          <w:rFonts w:ascii="Arial" w:cs="Arial" w:eastAsia="Arial" w:hAnsi="Arial"/>
          <w:b/>
          <w:bCs/>
          <w:color w:val="0D1B2A"/>
          <w:sz w:val="22"/>
          <w:szCs w:val="22"/>
        </w:rPr>
        <w:t xml:space="preserve">LLM hallucination: </w:t>
      </w:r>
      <w:r>
        <w:rPr>
          <w:rFonts w:ascii="Arial" w:cs="Arial" w:eastAsia="Arial" w:hAnsi="Arial"/>
          <w:b w:val="false"/>
          <w:bCs w:val="false"/>
          <w:color w:val="0D1B2A"/>
          <w:sz w:val="22"/>
          <w:szCs w:val="22"/>
        </w:rPr>
        <w:t xml:space="preserve">A confident but entirely fabricated attack attribution sent to the SOC analyst.</w:t>
      </w:r>
    </w:p>
    <w:p>
      <w:pPr>
        <w:pStyle w:val="ListParagraph"/>
        <w:numPr>
          <w:ilvl w:val="0"/>
          <w:numId w:val="2"/>
        </w:numPr>
        <w:spacing w:after="60" w:before="0"/>
      </w:pPr>
      <w:r>
        <w:rPr>
          <w:rFonts w:ascii="Arial" w:cs="Arial" w:eastAsia="Arial" w:hAnsi="Arial"/>
          <w:b/>
          <w:bCs/>
          <w:color w:val="0D1B2A"/>
          <w:sz w:val="22"/>
          <w:szCs w:val="22"/>
        </w:rPr>
        <w:t xml:space="preserve">Vector store corruption: </w:t>
      </w:r>
      <w:r>
        <w:rPr>
          <w:rFonts w:ascii="Arial" w:cs="Arial" w:eastAsia="Arial" w:hAnsi="Arial"/>
          <w:b w:val="false"/>
          <w:bCs w:val="false"/>
          <w:color w:val="0D1B2A"/>
          <w:sz w:val="22"/>
          <w:szCs w:val="22"/>
        </w:rPr>
        <w:t xml:space="preserve">Mid-run index failure with no watchdog or dead-letter queue.</w:t>
      </w:r>
    </w:p>
    <w:p>
      <w:pPr>
        <w:spacing w:after="0" w:before="0"/>
      </w:pPr>
      <w:r>
        <w:t xml:space="preserve"/>
      </w:r>
    </w:p>
    <w:p>
      <w:pPr>
        <w:pStyle w:val="Heading2"/>
        <w:spacing w:after="80" w:before="240"/>
      </w:pPr>
      <w:r>
        <w:rPr>
          <w:rFonts w:ascii="Arial" w:cs="Arial" w:eastAsia="Arial" w:hAnsi="Arial"/>
          <w:b/>
          <w:bCs/>
          <w:color w:val="1B4F72"/>
          <w:sz w:val="28"/>
          <w:szCs w:val="28"/>
        </w:rPr>
        <w:t xml:space="preserve">3.3 Prompt Injection Attack Surface</w:t>
      </w:r>
    </w:p>
    <w:p>
      <w:pPr>
        <w:spacing w:after="80" w:before="0"/>
      </w:pPr>
      <w:r>
        <w:rPr>
          <w:rFonts w:ascii="Arial" w:cs="Arial" w:eastAsia="Arial" w:hAnsi="Arial"/>
          <w:b w:val="false"/>
          <w:bCs w:val="false"/>
          <w:color w:val="0D1B2A"/>
          <w:sz w:val="22"/>
          <w:szCs w:val="22"/>
        </w:rPr>
        <w:t xml:space="preserve">The ingestion pipeline reads arbitrary log files from disk. If an attacker knows the monitored log path, a crafted log entry containing LLM-formatted instructions could attempt prompt injection against the Timeline Agent — for example, instructing the model to suppress detection of the ongoing attack or to fabricate a benign attribution. This is a known and documented attack vector against RAG-over-logs systems, and the blueprint's security model does not acknowledge it.</w:t>
      </w:r>
    </w:p>
    <w:p>
      <w:pPr>
        <w:spacing w:after="0" w:before="0"/>
      </w:pPr>
      <w:r>
        <w:t xml:space="preserve"/>
      </w:r>
    </w:p>
    <w:p>
      <w:pPr>
        <w:pStyle w:val="Heading2"/>
        <w:spacing w:after="80" w:before="240"/>
      </w:pPr>
      <w:r>
        <w:rPr>
          <w:rFonts w:ascii="Arial" w:cs="Arial" w:eastAsia="Arial" w:hAnsi="Arial"/>
          <w:b/>
          <w:bCs/>
          <w:color w:val="1B4F72"/>
          <w:sz w:val="28"/>
          <w:szCs w:val="28"/>
        </w:rPr>
        <w:t xml:space="preserve">3.4 OpenClaw Integration Depth — Surface-Level Usage</w:t>
      </w:r>
    </w:p>
    <w:p>
      <w:pPr>
        <w:spacing w:after="80" w:before="0"/>
      </w:pPr>
      <w:r>
        <w:rPr>
          <w:rFonts w:ascii="Arial" w:cs="Arial" w:eastAsia="Arial" w:hAnsi="Arial"/>
          <w:b w:val="false"/>
          <w:bCs w:val="false"/>
          <w:color w:val="0D1B2A"/>
          <w:sz w:val="22"/>
          <w:szCs w:val="22"/>
        </w:rPr>
        <w:t xml:space="preserve">The SKILL.md references are labels, not implementations. A winning submission requires showing the actual skill interface contract: what inputs each skill accepts, what it returns, and how it signals failure to the orchestrator. Additionally, OpenClaw's native RBAC and credential vault mechanisms are completely absent from the security model — claiming 'secure by design' while ignoring the framework's own security primitives is an internal contradiction that experienced judges will immediately probe.</w:t>
      </w:r>
    </w:p>
    <w:p>
      <w:pPr>
        <w:spacing w:after="0" w:before="0"/>
      </w:pPr>
      <w:r>
        <w:t xml:space="preserve"/>
      </w:r>
    </w:p>
    <w:p>
      <w:pPr>
        <w:pStyle w:val="Heading2"/>
        <w:spacing w:after="80" w:before="240"/>
      </w:pPr>
      <w:r>
        <w:rPr>
          <w:rFonts w:ascii="Arial" w:cs="Arial" w:eastAsia="Arial" w:hAnsi="Arial"/>
          <w:b/>
          <w:bCs/>
          <w:color w:val="1B4F72"/>
          <w:sz w:val="28"/>
          <w:szCs w:val="28"/>
        </w:rPr>
        <w:t xml:space="preserve">3.5 Node.js ↔ Python Boundary — No Circuit Breaker</w:t>
      </w:r>
    </w:p>
    <w:p>
      <w:pPr>
        <w:spacing w:after="80" w:before="0"/>
      </w:pPr>
      <w:r>
        <w:rPr>
          <w:rFonts w:ascii="Arial" w:cs="Arial" w:eastAsia="Arial" w:hAnsi="Arial"/>
          <w:b w:val="false"/>
          <w:bCs w:val="false"/>
          <w:color w:val="0D1B2A"/>
          <w:sz w:val="22"/>
          <w:szCs w:val="22"/>
        </w:rPr>
        <w:t xml:space="preserve">The OpenClaw-to-Python FastAPI boundary introduces a second failure domain with no described recovery. If the FastAPI layer crashes or times out, the document describes no circuit-breaker pattern, no dead-letter queue, and no graceful degradation path. The analyst would receive silence rather than a degradation alert — an unacceptable outcome for a security tool.</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4. Suggested Pivots &amp; Improvements</w:t>
      </w:r>
    </w:p>
    <w:p>
      <w:pPr>
        <w:pStyle w:val="Heading2"/>
        <w:spacing w:after="80" w:before="240"/>
      </w:pPr>
      <w:r>
        <w:rPr>
          <w:rFonts w:ascii="Arial" w:cs="Arial" w:eastAsia="Arial" w:hAnsi="Arial"/>
          <w:b/>
          <w:bCs/>
          <w:color w:val="1B4F72"/>
          <w:sz w:val="28"/>
          <w:szCs w:val="28"/>
        </w:rPr>
        <w:t xml:space="preserve">4.1 Mandatory Architectural Patches</w:t>
      </w:r>
    </w:p>
    <w:p>
      <w:pPr>
        <w:pStyle w:val="ListParagraph"/>
        <w:numPr>
          <w:ilvl w:val="0"/>
          <w:numId w:val="3"/>
        </w:numPr>
        <w:spacing w:after="60" w:before="0"/>
      </w:pPr>
      <w:r>
        <w:rPr>
          <w:rFonts w:ascii="Arial" w:cs="Arial" w:eastAsia="Arial" w:hAnsi="Arial"/>
          <w:color w:val="0D1B2A"/>
          <w:sz w:val="22"/>
          <w:szCs w:val="22"/>
        </w:rPr>
        <w:t xml:space="preserve">Introduce a Priority Queue (asyncio or Redis Streams) between the Triage Agent and the embedding pipeline. Single-worker consumption ensures Qwen 2.5 is never hit with parallel requests that exhaust VRAM.</w:t>
      </w:r>
    </w:p>
    <w:p>
      <w:pPr>
        <w:pStyle w:val="ListParagraph"/>
        <w:numPr>
          <w:ilvl w:val="0"/>
          <w:numId w:val="3"/>
        </w:numPr>
        <w:spacing w:after="60" w:before="0"/>
      </w:pPr>
      <w:r>
        <w:rPr>
          <w:rFonts w:ascii="Arial" w:cs="Arial" w:eastAsia="Arial" w:hAnsi="Arial"/>
          <w:color w:val="0D1B2A"/>
          <w:sz w:val="22"/>
          <w:szCs w:val="22"/>
        </w:rPr>
        <w:t xml:space="preserve">Implement a Circuit Breaker (pybreaker library) on the FastAPI skill execution layer. Define timeout thresholds (e.g., 30s), automatic retry (3 attempts), and dead-letter queue fallback with analyst notification on degradation.</w:t>
      </w:r>
    </w:p>
    <w:p>
      <w:pPr>
        <w:pStyle w:val="ListParagraph"/>
        <w:numPr>
          <w:ilvl w:val="0"/>
          <w:numId w:val="3"/>
        </w:numPr>
        <w:spacing w:after="60" w:before="0"/>
      </w:pPr>
      <w:r>
        <w:rPr>
          <w:rFonts w:ascii="Arial" w:cs="Arial" w:eastAsia="Arial" w:hAnsi="Arial"/>
          <w:color w:val="0D1B2A"/>
          <w:sz w:val="22"/>
          <w:szCs w:val="22"/>
        </w:rPr>
        <w:t xml:space="preserve">Enforce Structured Output via Pydantic models + Ollama's native JSON mode. On malformed output: auto-retry with temperature=0.1. After 3 failures: escalate raw correlated logs to analyst for manual review with an explicit confidence flag.</w:t>
      </w:r>
    </w:p>
    <w:p>
      <w:pPr>
        <w:pStyle w:val="ListParagraph"/>
        <w:numPr>
          <w:ilvl w:val="0"/>
          <w:numId w:val="3"/>
        </w:numPr>
        <w:spacing w:after="60" w:before="0"/>
      </w:pPr>
      <w:r>
        <w:rPr>
          <w:rFonts w:ascii="Arial" w:cs="Arial" w:eastAsia="Arial" w:hAnsi="Arial"/>
          <w:color w:val="0D1B2A"/>
          <w:sz w:val="22"/>
          <w:szCs w:val="22"/>
        </w:rPr>
        <w:t xml:space="preserve">Sanitize all log payloads before LLM context injection by stripping executable code blocks, markdown formatting, and instruction-patterned strings. Implement as a pre-processing step in the normalization pipeline.</w:t>
      </w:r>
    </w:p>
    <w:p>
      <w:pPr>
        <w:spacing w:after="0" w:before="0"/>
      </w:pPr>
      <w:r>
        <w:t xml:space="preserve"/>
      </w:r>
    </w:p>
    <w:p>
      <w:pPr>
        <w:pStyle w:val="Heading2"/>
        <w:spacing w:after="80" w:before="240"/>
      </w:pPr>
      <w:r>
        <w:rPr>
          <w:rFonts w:ascii="Arial" w:cs="Arial" w:eastAsia="Arial" w:hAnsi="Arial"/>
          <w:b/>
          <w:bCs/>
          <w:color w:val="1B4F72"/>
          <w:sz w:val="28"/>
          <w:szCs w:val="28"/>
        </w:rPr>
        <w:t xml:space="preserve">4.2 Strategic Feature Pivots</w:t>
      </w:r>
    </w:p>
    <w:p>
      <w:pPr>
        <w:pStyle w:val="Heading3"/>
        <w:spacing w:after="60" w:before="160"/>
      </w:pPr>
      <w:r>
        <w:rPr>
          <w:rFonts w:ascii="Arial" w:cs="Arial" w:eastAsia="Arial" w:hAnsi="Arial"/>
          <w:b/>
          <w:bCs/>
          <w:color w:val="2E86C1"/>
          <w:sz w:val="24"/>
          <w:szCs w:val="24"/>
        </w:rPr>
        <w:t xml:space="preserve">Pivot 1: MITRE ATT&amp;CK Mapping (High Impact, 4 Hours)</w:t>
      </w:r>
    </w:p>
    <w:p>
      <w:pPr>
        <w:spacing w:after="80" w:before="0"/>
      </w:pPr>
      <w:r>
        <w:rPr>
          <w:rFonts w:ascii="Arial" w:cs="Arial" w:eastAsia="Arial" w:hAnsi="Arial"/>
          <w:b w:val="false"/>
          <w:bCs w:val="false"/>
          <w:color w:val="0D1B2A"/>
          <w:sz w:val="22"/>
          <w:szCs w:val="22"/>
        </w:rPr>
        <w:t xml:space="preserve">After the Timeline Agent generates the narrative, pass it through a classification prompt: 'Based on this timeline, identify MITRE ATT&amp;CK Tactic IDs and Technique IDs for each observed behavior.' Append the structured ATT&amp;CK taxonomy to the Telegram/Discord alert. This requires zero new dependencies, takes approximately 4 hours to implement, and transforms the output from 'interesting AI summary' to 'actionable threat intelligence with industry-standard taxonomy.' Judges with security backgrounds will recognize this as production-grade thinking.</w:t>
      </w:r>
    </w:p>
    <w:p>
      <w:pPr>
        <w:spacing w:after="0" w:before="0"/>
      </w:pPr>
      <w:r>
        <w:t xml:space="preserve"/>
      </w:r>
    </w:p>
    <w:p>
      <w:pPr>
        <w:pStyle w:val="Heading3"/>
        <w:spacing w:after="60" w:before="160"/>
      </w:pPr>
      <w:r>
        <w:rPr>
          <w:rFonts w:ascii="Arial" w:cs="Arial" w:eastAsia="Arial" w:hAnsi="Arial"/>
          <w:b/>
          <w:bCs/>
          <w:color w:val="2E86C1"/>
          <w:sz w:val="24"/>
          <w:szCs w:val="24"/>
        </w:rPr>
        <w:t xml:space="preserve">Pivot 2: Knowledge Graph Visualization (High Impact, 8 Hours)</w:t>
      </w:r>
    </w:p>
    <w:p>
      <w:pPr>
        <w:spacing w:after="80" w:before="0"/>
      </w:pPr>
      <w:r>
        <w:rPr>
          <w:rFonts w:ascii="Arial" w:cs="Arial" w:eastAsia="Arial" w:hAnsi="Arial"/>
          <w:b w:val="false"/>
          <w:bCs w:val="false"/>
          <w:color w:val="0D1B2A"/>
          <w:sz w:val="22"/>
          <w:szCs w:val="22"/>
        </w:rPr>
        <w:t xml:space="preserve">Implement the Graph Construction Agent as a Cytoscape.js web UI served locally. Nodes represent network entities (IPs, processes, users, file paths). Edges represent observed interactions with temporal labels. During the demo, show the graph updating in real time as the simulated attack progresses. Pair this with the Telegram mobile alert for two complementary output channels: the graph is the analyst's investigation workspace, the mobile message is the triage notification. This visual contrast between 'wall of log text' and 'interactive attack graph' is the central demo moment.</w:t>
      </w:r>
    </w:p>
    <w:p>
      <w:pPr>
        <w:spacing w:after="0" w:before="0"/>
      </w:pPr>
      <w:r>
        <w:t xml:space="preserve"/>
      </w:r>
    </w:p>
    <w:p>
      <w:pPr>
        <w:pStyle w:val="Heading2"/>
        <w:spacing w:after="80" w:before="240"/>
      </w:pPr>
      <w:r>
        <w:rPr>
          <w:rFonts w:ascii="Arial" w:cs="Arial" w:eastAsia="Arial" w:hAnsi="Arial"/>
          <w:b/>
          <w:bCs/>
          <w:color w:val="1B4F72"/>
          <w:sz w:val="28"/>
          <w:szCs w:val="28"/>
        </w:rPr>
        <w:t xml:space="preserve">4.3 Technology Readiness Level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TRL Gap</w:t>
            </w:r>
          </w:p>
        </w:tc>
        <w:tc>
          <w:tcPr>
            <w:tcW w:type="dxa" w:w="2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Improvement Action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SKILL.md contracts</w:t>
            </w:r>
          </w:p>
        </w:tc>
        <w:tc>
          <w:tcPr>
            <w:tcW w:type="dxa" w:w="2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Referenced as labels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Define input/output schema for each skill explicitly</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Sandboxing mechanism</w:t>
            </w:r>
          </w:p>
        </w:tc>
        <w:tc>
          <w:tcPr>
            <w:tcW w:type="dxa" w:w="2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Claimed, not specified</w:t>
            </w:r>
          </w:p>
        </w:tc>
        <w:tc>
          <w:tcPr>
            <w:tcW w:type="dxa" w:w="4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Name the enforcement: Docker read-only volume mounts + seccomp</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Confidence scoring</w:t>
            </w:r>
          </w:p>
        </w:tc>
        <w:tc>
          <w:tcPr>
            <w:tcW w:type="dxa" w:w="2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Absent</w:t>
            </w:r>
          </w:p>
        </w:tc>
        <w:tc>
          <w:tcPr>
            <w:tcW w:type="dxa" w:w="4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Add cosine similarity threshold display on all forensic outputs</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RBAC / Credential Vault</w:t>
            </w:r>
          </w:p>
        </w:tc>
        <w:tc>
          <w:tcPr>
            <w:tcW w:type="dxa" w:w="2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Not mentioned</w:t>
            </w:r>
          </w:p>
        </w:tc>
        <w:tc>
          <w:tcPr>
            <w:tcW w:type="dxa" w:w="4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Use OpenClaw's native credential scoping per skill</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Inter-agent messaging</w:t>
            </w:r>
          </w:p>
        </w:tc>
        <w:tc>
          <w:tcPr>
            <w:tcW w:type="dxa" w:w="2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Ambiguous</w:t>
            </w:r>
          </w:p>
        </w:tc>
        <w:tc>
          <w:tcPr>
            <w:tcW w:type="dxa" w:w="4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Specify: shared Cognitive RAM with versioned context blobs</w:t>
            </w:r>
          </w:p>
        </w:tc>
      </w:tr>
    </w:tbl>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5.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Agent Orchestration</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(Node.js ≥22, TS)</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Native daemon (HEARTBEAT.md), Cognitive RAM, Protocol Adapters</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Backend / Skills</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Python 3.11 + FastAPI</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ML library ecosystem; async endpoints match OpenClaw event loop</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Embedding Model</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BAAI/BGE-m3</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Dense retrieval optimized; 384-dim vectors; CUDA-accelerated</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Vector DB</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ChromaDB (HNSW)</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Local, in-memory, O(log N) search; no cloud latency or privacy risk</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Relational DB</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SQLite + SQLAlchemy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Immutable raw log storage; SHA-256 chain of custody; zero-config</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LLM Inference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Qwen 2.5 via Ollama</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Quantized (Q4_K_M); JSON-mode; fits 8–16GB VRAM; fully offline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Priority Queue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asyncio.PriorityQueue / Redis Streams</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Serializes agent chain; prevents VRAM contention</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Circuit Breaker</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pybreaker (Python)</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Graceful degradation on FastAPI failures; dead-letter queue integration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Structured Output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Pydantic v2 + Ollama JSON mode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Hallucination guard; automatic retry; schema-enforced forensic reports</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Knowledge Graph UI</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Cytoscape.js (local web server)</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Real-time node/edge updates; analyst investigation workspace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Notification Layer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Protocol Adapters</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Telegram / Discord / WhatsApp; native framework integration</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Containerization</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Docker Compose</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Environment parity; read-only volume mounts for skill sandboxing</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CI/CD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GitHub Actions</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Automated linting + ingestion parser unit tests on merge</w:t>
            </w:r>
          </w:p>
        </w:tc>
      </w:tr>
    </w:tbl>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6.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0D1B2A" w:val="clear"/>
            <w:tcMar>
              <w:top w:type="dxa" w:w="160"/>
              <w:left w:type="dxa" w:w="160"/>
              <w:bottom w:type="dxa" w:w="160"/>
              <w:right w:type="dxa" w:w="160"/>
            </w:tcMar>
          </w:tcPr>
          <w:p>
            <w:pPr>
              <w:jc w:val="center"/>
            </w:pPr>
            <w:r>
              <w:rPr>
                <w:rFonts w:ascii="Arial" w:cs="Arial" w:eastAsia="Arial" w:hAnsi="Arial"/>
                <w:b/>
                <w:bCs/>
                <w:color w:val="FFFFFF"/>
                <w:sz w:val="72"/>
                <w:szCs w:val="72"/>
              </w:rPr>
              <w:t xml:space="preserve">7.5</w:t>
            </w:r>
          </w:p>
          <w:p>
            <w:pPr>
              <w:jc w:val="center"/>
            </w:pPr>
            <w:r>
              <w:rPr>
                <w:rFonts w:ascii="Arial" w:cs="Arial" w:eastAsia="Arial" w:hAnsi="Arial"/>
                <w:color w:val="85C1E9"/>
                <w:sz w:val="20"/>
                <w:szCs w:val="20"/>
              </w:rPr>
              <w:t xml:space="preserve">out of 10</w:t>
            </w:r>
          </w:p>
        </w:tc>
        <w:tc>
          <w:tcPr>
            <w:tcW w:type="dxa" w:w="6960"/>
            <w:tcBorders>
              <w:top w:val="single" w:color="AED6F1" w:sz="1"/>
              <w:left w:val="single" w:color="AED6F1" w:sz="1"/>
              <w:bottom w:val="single" w:color="AED6F1" w:sz="1"/>
              <w:right w:val="single" w:color="AED6F1" w:sz="1"/>
            </w:tcBorders>
            <w:shd w:fill="F2F3F4" w:val="clear"/>
            <w:tcMar>
              <w:top w:type="dxa" w:w="120"/>
              <w:left w:type="dxa" w:w="200"/>
              <w:bottom w:type="dxa" w:w="120"/>
              <w:right w:type="dxa" w:w="160"/>
            </w:tcMar>
          </w:tcPr>
          <w:p>
            <w:pPr>
              <w:spacing w:after="80" w:before="0"/>
            </w:pPr>
            <w:r>
              <w:rPr>
                <w:rFonts w:ascii="Arial" w:cs="Arial" w:eastAsia="Arial" w:hAnsi="Arial"/>
                <w:b/>
                <w:bCs/>
                <w:color w:val="1E8449"/>
                <w:sz w:val="28"/>
                <w:szCs w:val="28"/>
              </w:rPr>
              <w:t xml:space="preserve">CONDITIONAL GO</w:t>
            </w:r>
          </w:p>
          <w:p>
            <w:r>
              <w:rPr>
                <w:rFonts w:ascii="Arial" w:cs="Arial" w:eastAsia="Arial" w:hAnsi="Arial"/>
                <w:color w:val="0D1B2A"/>
                <w:sz w:val="20"/>
                <w:szCs w:val="20"/>
              </w:rPr>
              <w:t xml:space="preserve">The problem is real, the architecture is more thoughtful than 90% of hackathon submissions in this space, and the demo scenario is viscerally compelling. The system earns a 7.5 because the planning quality significantly outstrips the engineering depth — three critical gaps (concurrency model, agentic failure paths, and SKILL.md contracts) must be closed before this can be considered genuinely competitive.</w:t>
            </w:r>
          </w:p>
        </w:tc>
      </w:tr>
    </w:tbl>
    <w:p>
      <w:pPr>
        <w:spacing w:after="0" w:before="0"/>
      </w:pPr>
      <w:r>
        <w:t xml:space="preserve"/>
      </w:r>
    </w:p>
    <w:p>
      <w:pPr>
        <w:spacing w:after="80" w:before="0"/>
      </w:pPr>
      <w:r>
        <w:rPr>
          <w:rFonts w:ascii="Arial" w:cs="Arial" w:eastAsia="Arial" w:hAnsi="Arial"/>
          <w:b w:val="false"/>
          <w:bCs w:val="false"/>
          <w:color w:val="0D1B2A"/>
          <w:sz w:val="22"/>
          <w:szCs w:val="22"/>
        </w:rPr>
        <w:t xml:space="preserve">If the team closes the failure-mode gaps, executes the MITRE ATT&amp;CK pivot, and delivers the knowledge graph UI, this has a credible path to a top-three finish. The risk is that it currently reads as excellent planning but thin engineering — and experienced judges will probe exactly the gaps identified above.</w:t>
      </w:r>
    </w:p>
    <w:p>
      <w:r>
        <w:br w:type="page"/>
      </w:r>
    </w:p>
    <w:p>
      <w:pPr>
        <w:spacing w:after="40" w:before="0"/>
      </w:pPr>
      <w:r>
        <w:rPr>
          <w:rFonts w:ascii="Arial" w:cs="Arial" w:eastAsia="Arial" w:hAnsi="Arial"/>
          <w:b/>
          <w:bCs/>
          <w:color w:val="566573"/>
          <w:sz w:val="18"/>
          <w:szCs w:val="18"/>
        </w:rPr>
        <w:t xml:space="preserve">PART II</w:t>
      </w:r>
    </w:p>
    <w:p>
      <w:pPr>
        <w:pBdr>
          <w:bottom w:val="single" w:color="2E86C1" w:sz="12" w:space="6"/>
        </w:pBdr>
        <w:spacing w:after="80" w:before="0"/>
      </w:pPr>
      <w:r>
        <w:rPr>
          <w:rFonts w:ascii="Arial" w:cs="Arial" w:eastAsia="Arial" w:hAnsi="Arial"/>
          <w:b/>
          <w:bCs/>
          <w:color w:val="0D1B2A"/>
          <w:sz w:val="40"/>
          <w:szCs w:val="40"/>
        </w:rPr>
        <w:t xml:space="preserve">Updated Project Documentation &amp; Execution Plan</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1. Executive Summary</w:t>
      </w:r>
    </w:p>
    <w:p>
      <w:pPr>
        <w:spacing w:after="80" w:before="0"/>
      </w:pPr>
      <w:r>
        <w:rPr>
          <w:rFonts w:ascii="Arial" w:cs="Arial" w:eastAsia="Arial" w:hAnsi="Arial"/>
          <w:b w:val="false"/>
          <w:bCs w:val="false"/>
          <w:color w:val="0D1B2A"/>
          <w:sz w:val="22"/>
          <w:szCs w:val="22"/>
        </w:rPr>
        <w:t xml:space="preserve">AEGIS (Multi-Agent Semantic Threat Evaluation &amp; Reconstruction) is a fully offline, edge-deployed autonomous SOC analyst platform. Operating within the Productivity Platforms theme, it replaces the manual, rule-based, alert-heavy workflow of modern security operations with a three-layer autonomous pipeline: semantic ingestion, multi-agent correlation, and narrative synthesis.</w:t>
      </w:r>
    </w:p>
    <w:p>
      <w:pPr>
        <w:spacing w:after="0" w:before="0"/>
      </w:pPr>
      <w:r>
        <w:t xml:space="preserve"/>
      </w:r>
    </w:p>
    <w:p>
      <w:pPr>
        <w:spacing w:after="80" w:before="0"/>
      </w:pPr>
      <w:r>
        <w:rPr>
          <w:rFonts w:ascii="Arial" w:cs="Arial" w:eastAsia="Arial" w:hAnsi="Arial"/>
          <w:b w:val="false"/>
          <w:bCs w:val="false"/>
          <w:color w:val="0D1B2A"/>
          <w:sz w:val="22"/>
          <w:szCs w:val="22"/>
        </w:rPr>
        <w:t xml:space="preserve">The system ingests heterogeneous network and endpoint logs, transforms them into 384-dimensional semantic embeddings, and deploys a chain of three OpenClaw-orchestrated agents — Triage, Correlation, and Timeline — to autonomously reconstruct attack timelines and surface root-cause narratives to SOC analysts via mobile messaging. All computation is local-first: no data leaves the enterprise perimeter, no cloud API is invoked, and no attacker can observe that detection is occurring.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PRIMARY VALUE</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AEGIS reduces Mean Time To Respond (MTTR) by targeting 80% reduction in timeline reconstruction time — from a 2–8 hour manual process to a sub-60-second automated forensic narrative delivered directly to the analyst's phone.</w:t>
            </w:r>
          </w:p>
        </w:tc>
      </w:tr>
    </w:tbl>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2. Updated System Architecture</w:t>
      </w:r>
    </w:p>
    <w:p>
      <w:pPr>
        <w:pStyle w:val="Heading2"/>
        <w:spacing w:after="80" w:before="240"/>
      </w:pPr>
      <w:r>
        <w:rPr>
          <w:rFonts w:ascii="Arial" w:cs="Arial" w:eastAsia="Arial" w:hAnsi="Arial"/>
          <w:b/>
          <w:bCs/>
          <w:color w:val="1B4F72"/>
          <w:sz w:val="28"/>
          <w:szCs w:val="28"/>
        </w:rPr>
        <w:t xml:space="preserve">2.1 High-Level Architecture</w:t>
      </w:r>
    </w:p>
    <w:p>
      <w:pPr>
        <w:spacing w:after="80" w:before="0"/>
      </w:pPr>
      <w:r>
        <w:rPr>
          <w:rFonts w:ascii="Arial" w:cs="Arial" w:eastAsia="Arial" w:hAnsi="Arial"/>
          <w:b w:val="false"/>
          <w:bCs w:val="false"/>
          <w:color w:val="0D1B2A"/>
          <w:sz w:val="22"/>
          <w:szCs w:val="22"/>
        </w:rPr>
        <w:t xml:space="preserve">AEGIS is structured as a four-plane microservice architecture orchestrated by the OpenClaw framework, communicating over a defined internal API boundary with no external network dependencies.</w:t>
      </w:r>
    </w:p>
    <w:p>
      <w:pPr>
        <w:spacing w:after="0" w:before="0"/>
      </w:pPr>
      <w:r>
        <w:t xml:space="preserve"/>
      </w:r>
    </w:p>
    <w:p>
      <w:pPr>
        <w:spacing w:after="80" w:before="0"/>
      </w:pPr>
      <w:r>
        <w:rPr>
          <w:rFonts w:ascii="Arial" w:cs="Arial" w:eastAsia="Arial" w:hAnsi="Arial"/>
          <w:b w:val="false"/>
          <w:bCs w:val="false"/>
          <w:color w:val="0D1B2A"/>
          <w:sz w:val="22"/>
          <w:szCs w:val="22"/>
        </w:rPr>
        <w:t xml:space="preserve">Plane 1 — Ingestion &amp; Normalization: A Python file-tailing daemon continuously monitors configured log directories (Sysmon, firewall, endpoint EDR). Each log entry is normalized into a canonical JSON schema (timestamp, source_ip, dest_ip, process_name, event_type, raw_payload) and SHA-256 hashed for chain-of-custody. Entries are written to SQLite for immutable archival and pushed to an asyncio.PriorityQueue, weighted by a lightweight heuristic severity score.</w:t>
      </w:r>
    </w:p>
    <w:p>
      <w:pPr>
        <w:spacing w:after="0" w:before="0"/>
      </w:pPr>
      <w:r>
        <w:t xml:space="preserve"/>
      </w:r>
    </w:p>
    <w:p>
      <w:pPr>
        <w:spacing w:after="80" w:before="0"/>
      </w:pPr>
      <w:r>
        <w:rPr>
          <w:rFonts w:ascii="Arial" w:cs="Arial" w:eastAsia="Arial" w:hAnsi="Arial"/>
          <w:b w:val="false"/>
          <w:bCs w:val="false"/>
          <w:color w:val="0D1B2A"/>
          <w:sz w:val="22"/>
          <w:szCs w:val="22"/>
        </w:rPr>
        <w:t xml:space="preserve">Plane 2 — Cognitive Orchestration (OpenClaw): The OpenClaw HEARTBEAT.md daemon runs as a continuous event loop, consuming the priority queue. For each dequeued entry above the anomaly threshold, it dispatches the Triage SKILL.md, which evaluates heuristic flags and determines whether to invoke the Correlation pipeline. This plane manages all inter-agent handoffs via shared Cognitive RAM context blobs.</w:t>
      </w:r>
    </w:p>
    <w:p>
      <w:pPr>
        <w:spacing w:after="0" w:before="0"/>
      </w:pPr>
      <w:r>
        <w:t xml:space="preserve"/>
      </w:r>
    </w:p>
    <w:p>
      <w:pPr>
        <w:spacing w:after="80" w:before="0"/>
      </w:pPr>
      <w:r>
        <w:rPr>
          <w:rFonts w:ascii="Arial" w:cs="Arial" w:eastAsia="Arial" w:hAnsi="Arial"/>
          <w:b w:val="false"/>
          <w:bCs w:val="false"/>
          <w:color w:val="0D1B2A"/>
          <w:sz w:val="22"/>
          <w:szCs w:val="22"/>
        </w:rPr>
        <w:t xml:space="preserve">Plane 3 — Semantic Correlation &amp; Reasoning: The Correlation SKILL.md invokes the Python FastAPI embedding service, generates the log's BGE-m3 vector, and executes a temporally bounded HNSW nearest-neighbor query against ChromaDB. Retrieved semantic clusters are loaded into OpenClaw's Cognitive RAM. The Timeline SKILL.md then invokes Qwen 2.5 (via Ollama in JSON mode) with a structured prompt that includes the cluster, system context, and MITRE ATT&amp;CK mapping instructions.</w:t>
      </w:r>
    </w:p>
    <w:p>
      <w:pPr>
        <w:spacing w:after="0" w:before="0"/>
      </w:pPr>
      <w:r>
        <w:t xml:space="preserve"/>
      </w:r>
    </w:p>
    <w:p>
      <w:pPr>
        <w:spacing w:after="80" w:before="0"/>
      </w:pPr>
      <w:r>
        <w:rPr>
          <w:rFonts w:ascii="Arial" w:cs="Arial" w:eastAsia="Arial" w:hAnsi="Arial"/>
          <w:b w:val="false"/>
          <w:bCs w:val="false"/>
          <w:color w:val="0D1B2A"/>
          <w:sz w:val="22"/>
          <w:szCs w:val="22"/>
        </w:rPr>
        <w:t xml:space="preserve">Plane 4 — Output &amp; Persistence: The structured forensic report (JSON with narrative, confidence score, MITRE ATT&amp;CK IDs, entity list, and timeline) is routed via OpenClaw's Protocol Adapters to the configured messaging channel (Telegram/Discord/WhatsApp). Simultaneously, the entity graph (IPs, processes, users, edges) is pushed to the local Cytoscape.js knowledge graph UI via WebSocket.</w:t>
      </w:r>
    </w:p>
    <w:p>
      <w:pPr>
        <w:spacing w:after="0" w:before="0"/>
      </w:pPr>
      <w:r>
        <w:t xml:space="preserve"/>
      </w:r>
    </w:p>
    <w:p>
      <w:pPr>
        <w:pStyle w:val="Heading2"/>
        <w:spacing w:after="80" w:before="240"/>
      </w:pPr>
      <w:r>
        <w:rPr>
          <w:rFonts w:ascii="Arial" w:cs="Arial" w:eastAsia="Arial" w:hAnsi="Arial"/>
          <w:b/>
          <w:bCs/>
          <w:color w:val="1B4F72"/>
          <w:sz w:val="28"/>
          <w:szCs w:val="28"/>
        </w:rPr>
        <w:t xml:space="preserve">2.2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Ingestion Daemon</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Python + watchdog</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File-tail, normalize, hash, queue log entries</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Priority Queue</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asyncio.PriorityQueue</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Serialize agent invocations; prevent VRAM contention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Orchestrator</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Node.js ≥22 + TypeScript</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HEARTBEAT.md event loop; Cognitive RAM; SKILL dispatch</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Triage SKILL.md</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OpenClaw Skill</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Heuristic anomaly scoring; queue prioritization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Embedding Service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Python FastAPI + BGE-m3</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384-dim vector generation; CUDA-accelerated batching</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Correlation SKILL.md</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OpenClaw Skill + ChromaDB</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Sliding-window HNSW vector search; cluster assembly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Timeline SKILL.md</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Skill + Qwen 2.5</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JSON-mode narrative synthesis; MITRE ATT&amp;CK mapping</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Circuit Breaker</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pybreaker + dead-letter queue</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FastAPI failure handling; graceful analyst escalation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Vector Store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ChromaDB (HNSW)</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Semantic similarity search; hot/cold data tiering</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Raw Log Store</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SQLite + SQLAlchemy</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Immutable archival; SHA-256 chain of custody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Knowledge Graph UI</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Cytoscape.js + WebSocket</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Real-time entity relationship visualization</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Notification Layer</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OpenClaw Protocol Adapters</w:t>
            </w:r>
          </w:p>
        </w:tc>
        <w:tc>
          <w:tcPr>
            <w:tcW w:type="dxa" w:w="3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Telegram/Discord/WhatsApp forensic report delivery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Container Runtime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Docker Compose</w:t>
            </w:r>
          </w:p>
        </w:tc>
        <w:tc>
          <w:tcPr>
            <w:tcW w:type="dxa" w:w="3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Environment isolation; read-only skill sandboxing</w:t>
            </w:r>
          </w:p>
        </w:tc>
      </w:tr>
    </w:tbl>
    <w:p>
      <w:pPr>
        <w:spacing w:after="0" w:before="0"/>
      </w:pPr>
      <w:r>
        <w:t xml:space="preserve"/>
      </w:r>
    </w:p>
    <w:p>
      <w:pPr>
        <w:pStyle w:val="Heading2"/>
        <w:spacing w:after="80" w:before="240"/>
      </w:pPr>
      <w:r>
        <w:rPr>
          <w:rFonts w:ascii="Arial" w:cs="Arial" w:eastAsia="Arial" w:hAnsi="Arial"/>
          <w:b/>
          <w:bCs/>
          <w:color w:val="1B4F72"/>
          <w:sz w:val="28"/>
          <w:szCs w:val="28"/>
        </w:rPr>
        <w:t xml:space="preserve">2.3 Data Flow: End-to-End</w:t>
      </w:r>
    </w:p>
    <w:p>
      <w:pPr>
        <w:pStyle w:val="ListParagraph"/>
        <w:numPr>
          <w:ilvl w:val="0"/>
          <w:numId w:val="3"/>
        </w:numPr>
        <w:spacing w:after="60" w:before="0"/>
      </w:pPr>
      <w:r>
        <w:rPr>
          <w:rFonts w:ascii="Arial" w:cs="Arial" w:eastAsia="Arial" w:hAnsi="Arial"/>
          <w:color w:val="0D1B2A"/>
          <w:sz w:val="22"/>
          <w:szCs w:val="22"/>
        </w:rPr>
        <w:t xml:space="preserve">Log written to monitored directory → watchdog triggers normalization → JSON schema extraction + SHA-256 hashing → SQLite archival.</w:t>
      </w:r>
    </w:p>
    <w:p>
      <w:pPr>
        <w:pStyle w:val="ListParagraph"/>
        <w:numPr>
          <w:ilvl w:val="0"/>
          <w:numId w:val="3"/>
        </w:numPr>
        <w:spacing w:after="60" w:before="0"/>
      </w:pPr>
      <w:r>
        <w:rPr>
          <w:rFonts w:ascii="Arial" w:cs="Arial" w:eastAsia="Arial" w:hAnsi="Arial"/>
          <w:color w:val="0D1B2A"/>
          <w:sz w:val="22"/>
          <w:szCs w:val="22"/>
        </w:rPr>
        <w:t xml:space="preserve">Normalized entry pushed to asyncio.PriorityQueue with heuristic severity score (P0=critical, P1=high, P2=medium).</w:t>
      </w:r>
    </w:p>
    <w:p>
      <w:pPr>
        <w:pStyle w:val="ListParagraph"/>
        <w:numPr>
          <w:ilvl w:val="0"/>
          <w:numId w:val="3"/>
        </w:numPr>
        <w:spacing w:after="60" w:before="0"/>
      </w:pPr>
      <w:r>
        <w:rPr>
          <w:rFonts w:ascii="Arial" w:cs="Arial" w:eastAsia="Arial" w:hAnsi="Arial"/>
          <w:color w:val="0D1B2A"/>
          <w:sz w:val="22"/>
          <w:szCs w:val="22"/>
        </w:rPr>
        <w:t xml:space="preserve">OpenClaw HEARTBEAT.md dequeues entry → dispatches Triage SKILL.md.</w:t>
      </w:r>
    </w:p>
    <w:p>
      <w:pPr>
        <w:pStyle w:val="ListParagraph"/>
        <w:numPr>
          <w:ilvl w:val="0"/>
          <w:numId w:val="3"/>
        </w:numPr>
        <w:spacing w:after="60" w:before="0"/>
      </w:pPr>
      <w:r>
        <w:rPr>
          <w:rFonts w:ascii="Arial" w:cs="Arial" w:eastAsia="Arial" w:hAnsi="Arial"/>
          <w:color w:val="0D1B2A"/>
          <w:sz w:val="22"/>
          <w:szCs w:val="22"/>
        </w:rPr>
        <w:t xml:space="preserve">Triage SKILL.md evaluates flag conditions → if anomaly threshold exceeded, emits CorrelationRequest context blob to Cognitive RAM.</w:t>
      </w:r>
    </w:p>
    <w:p>
      <w:pPr>
        <w:pStyle w:val="ListParagraph"/>
        <w:numPr>
          <w:ilvl w:val="0"/>
          <w:numId w:val="3"/>
        </w:numPr>
        <w:spacing w:after="60" w:before="0"/>
      </w:pPr>
      <w:r>
        <w:rPr>
          <w:rFonts w:ascii="Arial" w:cs="Arial" w:eastAsia="Arial" w:hAnsi="Arial"/>
          <w:color w:val="0D1B2A"/>
          <w:sz w:val="22"/>
          <w:szCs w:val="22"/>
        </w:rPr>
        <w:t xml:space="preserve">Correlation SKILL.md reads context blob → calls FastAPI /embed endpoint → receives 384-dim vector.</w:t>
      </w:r>
    </w:p>
    <w:p>
      <w:pPr>
        <w:pStyle w:val="ListParagraph"/>
        <w:numPr>
          <w:ilvl w:val="0"/>
          <w:numId w:val="3"/>
        </w:numPr>
        <w:spacing w:after="60" w:before="0"/>
      </w:pPr>
      <w:r>
        <w:rPr>
          <w:rFonts w:ascii="Arial" w:cs="Arial" w:eastAsia="Arial" w:hAnsi="Arial"/>
          <w:color w:val="0D1B2A"/>
          <w:sz w:val="22"/>
          <w:szCs w:val="22"/>
        </w:rPr>
        <w:t xml:space="preserve">ChromaDB HNSW query: k=20 nearest neighbors within ±2-hour temporal window → returns UUID cluster + cosine similarity scores.</w:t>
      </w:r>
    </w:p>
    <w:p>
      <w:pPr>
        <w:pStyle w:val="ListParagraph"/>
        <w:numPr>
          <w:ilvl w:val="0"/>
          <w:numId w:val="3"/>
        </w:numPr>
        <w:spacing w:after="60" w:before="0"/>
      </w:pPr>
      <w:r>
        <w:rPr>
          <w:rFonts w:ascii="Arial" w:cs="Arial" w:eastAsia="Arial" w:hAnsi="Arial"/>
          <w:color w:val="0D1B2A"/>
          <w:sz w:val="22"/>
          <w:szCs w:val="22"/>
        </w:rPr>
        <w:t xml:space="preserve">Cluster loaded into Cognitive RAM → Timeline SKILL.md constructs structured Qwen 2.5 prompt.</w:t>
      </w:r>
    </w:p>
    <w:p>
      <w:pPr>
        <w:pStyle w:val="ListParagraph"/>
        <w:numPr>
          <w:ilvl w:val="0"/>
          <w:numId w:val="3"/>
        </w:numPr>
        <w:spacing w:after="60" w:before="0"/>
      </w:pPr>
      <w:r>
        <w:rPr>
          <w:rFonts w:ascii="Arial" w:cs="Arial" w:eastAsia="Arial" w:hAnsi="Arial"/>
          <w:color w:val="0D1B2A"/>
          <w:sz w:val="22"/>
          <w:szCs w:val="22"/>
        </w:rPr>
        <w:t xml:space="preserve">Qwen 2.5 generates JSON output: {narrative, confidence, mitre_tactics[], mitre_techniques[], entities[], timeline_events[], root_cause}.</w:t>
      </w:r>
    </w:p>
    <w:p>
      <w:pPr>
        <w:pStyle w:val="ListParagraph"/>
        <w:numPr>
          <w:ilvl w:val="0"/>
          <w:numId w:val="3"/>
        </w:numPr>
        <w:spacing w:after="60" w:before="0"/>
      </w:pPr>
      <w:r>
        <w:rPr>
          <w:rFonts w:ascii="Arial" w:cs="Arial" w:eastAsia="Arial" w:hAnsi="Arial"/>
          <w:color w:val="0D1B2A"/>
          <w:sz w:val="22"/>
          <w:szCs w:val="22"/>
        </w:rPr>
        <w:t xml:space="preserve">Pydantic model validates JSON → on failure: retry at temp=0.1 → after 3 failures: dead-letter queue + analyst escalation with raw cluster.</w:t>
      </w:r>
    </w:p>
    <w:p>
      <w:pPr>
        <w:pStyle w:val="ListParagraph"/>
        <w:numPr>
          <w:ilvl w:val="0"/>
          <w:numId w:val="3"/>
        </w:numPr>
        <w:spacing w:after="60" w:before="0"/>
      </w:pPr>
      <w:r>
        <w:rPr>
          <w:rFonts w:ascii="Arial" w:cs="Arial" w:eastAsia="Arial" w:hAnsi="Arial"/>
          <w:color w:val="0D1B2A"/>
          <w:sz w:val="22"/>
          <w:szCs w:val="22"/>
        </w:rPr>
        <w:t xml:space="preserve">Valid report → OpenClaw Protocol Adapter sends formatted message to Telegram/Discord → WebSocket pushes entity graph to Cytoscape.js UI.</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3. Finalized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Orchestration</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(Node.js ≥22, TS)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HEARTBEAT.md persistence, Cognitive RAM, Protocol Adapters are native requirements</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Backend Skills</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Python 3.11 + FastAPI</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ML ecosystem access; async I/O matches OpenClaw event model; Pydantic native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Embedding</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BAAI/BGE-m3 + PyTorch</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State-of-art dense retrieval; 384-dim; runs on consumer GPU without quantization</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Vector DB</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ChromaDB HNSW</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Local-first; O(log N) search; no cloud egress; embeds directly in Python process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Raw DB</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SQLite + SQLAlchemy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Zero-config; WAL mode for concurrent reads; SHA-256 audit columns built-in</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LLM Runtime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Qwen 2.5-7B-Q4_K_M via Ollama</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JSON mode; 8GB VRAM fit; deterministic at temp=0; fully offline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Queue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asyncio.PriorityQueue</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Zero dependency; native Python; upgrade path to Redis Streams if distributed needed</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Circuit Breaker</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pybreaker 1.x</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Standard pattern; configurable failure threshold; integrates with dead-letter queue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Output Validation</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Pydantic v2</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Schema enforcement on LLM output; automatic coercion; clear error paths</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Graph UI</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Cytoscape.js + Flask dev server</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Rich graph rendering; WebSocket-compatible; no build step required</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Notifications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Protocol Adapters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Framework-native; Telegram/Discord/WhatsApp support pre-built</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Containers</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Docker Compose + read-only mounts</w:t>
            </w:r>
          </w:p>
        </w:tc>
        <w:tc>
          <w:tcPr>
            <w:tcW w:type="dxa" w:w="45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Skill sandbox enforcement; environment parity; seccomp profiles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CI/CD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GitHub Actions</w:t>
            </w:r>
          </w:p>
        </w:tc>
        <w:tc>
          <w:tcPr>
            <w:tcW w:type="dxa" w:w="4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Automated linting; ingestion parser unit tests; schema validation on merge</w:t>
            </w:r>
          </w:p>
        </w:tc>
      </w:tr>
    </w:tbl>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4. Execution Plan &amp; Roadmap</w:t>
      </w:r>
    </w:p>
    <w:p>
      <w:pPr>
        <w:pStyle w:val="Heading2"/>
        <w:spacing w:after="80" w:before="240"/>
      </w:pPr>
      <w:r>
        <w:rPr>
          <w:rFonts w:ascii="Arial" w:cs="Arial" w:eastAsia="Arial" w:hAnsi="Arial"/>
          <w:b/>
          <w:bCs/>
          <w:color w:val="1B4F72"/>
          <w:sz w:val="28"/>
          <w:szCs w:val="28"/>
        </w:rPr>
        <w:t xml:space="preserve">Phase 1: Foundation &amp; MVP (Week 1: Apr 24 – May 1)</w:t>
      </w:r>
    </w:p>
    <w:p>
      <w:pPr>
        <w:spacing w:after="80" w:before="0"/>
      </w:pPr>
      <w:r>
        <w:rPr>
          <w:rFonts w:ascii="Arial" w:cs="Arial" w:eastAsia="Arial" w:hAnsi="Arial"/>
          <w:b w:val="false"/>
          <w:bCs w:val="false"/>
          <w:color w:val="0D1B2A"/>
          <w:sz w:val="22"/>
          <w:szCs w:val="22"/>
        </w:rPr>
        <w:t xml:space="preserve">Objective: Autonomous anomaly detection with Telegram/Discord alert delivery.</w:t>
      </w:r>
    </w:p>
    <w:p>
      <w:pPr>
        <w:pStyle w:val="ListParagraph"/>
        <w:numPr>
          <w:ilvl w:val="0"/>
          <w:numId w:val="2"/>
        </w:numPr>
        <w:spacing w:after="60" w:before="0"/>
      </w:pPr>
      <w:r>
        <w:rPr>
          <w:rFonts w:ascii="Arial" w:cs="Arial" w:eastAsia="Arial" w:hAnsi="Arial"/>
          <w:b/>
          <w:bCs/>
          <w:color w:val="0D1B2A"/>
          <w:sz w:val="22"/>
          <w:szCs w:val="22"/>
        </w:rPr>
        <w:t xml:space="preserve">Task 1.1: </w:t>
      </w:r>
      <w:r>
        <w:rPr>
          <w:rFonts w:ascii="Arial" w:cs="Arial" w:eastAsia="Arial" w:hAnsi="Arial"/>
          <w:b w:val="false"/>
          <w:bCs w:val="false"/>
          <w:color w:val="0D1B2A"/>
          <w:sz w:val="22"/>
          <w:szCs w:val="22"/>
        </w:rPr>
        <w:t xml:space="preserve">Finalize Sysmon and firewall log schemas. Implement Python file-tailing ingestion daemon with JSON normalization, SHA-256 hashing, and SQLite archival.</w:t>
      </w:r>
    </w:p>
    <w:p>
      <w:pPr>
        <w:pStyle w:val="ListParagraph"/>
        <w:numPr>
          <w:ilvl w:val="0"/>
          <w:numId w:val="2"/>
        </w:numPr>
        <w:spacing w:after="60" w:before="0"/>
      </w:pPr>
      <w:r>
        <w:rPr>
          <w:rFonts w:ascii="Arial" w:cs="Arial" w:eastAsia="Arial" w:hAnsi="Arial"/>
          <w:b/>
          <w:bCs/>
          <w:color w:val="0D1B2A"/>
          <w:sz w:val="22"/>
          <w:szCs w:val="22"/>
        </w:rPr>
        <w:t xml:space="preserve">Task 1.2: </w:t>
      </w:r>
      <w:r>
        <w:rPr>
          <w:rFonts w:ascii="Arial" w:cs="Arial" w:eastAsia="Arial" w:hAnsi="Arial"/>
          <w:b w:val="false"/>
          <w:bCs w:val="false"/>
          <w:color w:val="0D1B2A"/>
          <w:sz w:val="22"/>
          <w:szCs w:val="22"/>
        </w:rPr>
        <w:t xml:space="preserve">Deploy OpenClaw environment (Node.js ≥22). Configure HEARTBEAT.md to consume the asyncio.PriorityQueue. Implement basic Triage SKILL.md with heuristic scoring.</w:t>
      </w:r>
    </w:p>
    <w:p>
      <w:pPr>
        <w:pStyle w:val="ListParagraph"/>
        <w:numPr>
          <w:ilvl w:val="0"/>
          <w:numId w:val="2"/>
        </w:numPr>
        <w:spacing w:after="60" w:before="0"/>
      </w:pPr>
      <w:r>
        <w:rPr>
          <w:rFonts w:ascii="Arial" w:cs="Arial" w:eastAsia="Arial" w:hAnsi="Arial"/>
          <w:b/>
          <w:bCs/>
          <w:color w:val="0D1B2A"/>
          <w:sz w:val="22"/>
          <w:szCs w:val="22"/>
        </w:rPr>
        <w:t xml:space="preserve">Task 1.3: </w:t>
      </w:r>
      <w:r>
        <w:rPr>
          <w:rFonts w:ascii="Arial" w:cs="Arial" w:eastAsia="Arial" w:hAnsi="Arial"/>
          <w:b w:val="false"/>
          <w:bCs w:val="false"/>
          <w:color w:val="0D1B2A"/>
          <w:sz w:val="22"/>
          <w:szCs w:val="22"/>
        </w:rPr>
        <w:t xml:space="preserve">Configure OpenClaw Protocol Adapter for Telegram/Discord. Validate end-to-end alert delivery on injected test anomaly.</w:t>
      </w:r>
    </w:p>
    <w:p>
      <w:pPr>
        <w:pStyle w:val="ListParagraph"/>
        <w:numPr>
          <w:ilvl w:val="0"/>
          <w:numId w:val="2"/>
        </w:numPr>
        <w:spacing w:after="60" w:before="0"/>
      </w:pPr>
      <w:r>
        <w:rPr>
          <w:rFonts w:ascii="Arial" w:cs="Arial" w:eastAsia="Arial" w:hAnsi="Arial"/>
          <w:b/>
          <w:bCs/>
          <w:color w:val="0D1B2A"/>
          <w:sz w:val="22"/>
          <w:szCs w:val="22"/>
        </w:rPr>
        <w:t xml:space="preserve">Task 1.4: </w:t>
      </w:r>
      <w:r>
        <w:rPr>
          <w:rFonts w:ascii="Arial" w:cs="Arial" w:eastAsia="Arial" w:hAnsi="Arial"/>
          <w:b w:val="false"/>
          <w:bCs w:val="false"/>
          <w:color w:val="0D1B2A"/>
          <w:sz w:val="22"/>
          <w:szCs w:val="22"/>
        </w:rPr>
        <w:t xml:space="preserve">Define and document all SKILL.md interface contracts (input schema, output schema, failure signaling) before any skill implementation begins.</w:t>
      </w:r>
    </w:p>
    <w:p>
      <w:pPr>
        <w:pStyle w:val="ListParagraph"/>
        <w:numPr>
          <w:ilvl w:val="0"/>
          <w:numId w:val="2"/>
        </w:numPr>
        <w:spacing w:after="60" w:before="0"/>
      </w:pPr>
      <w:r>
        <w:rPr>
          <w:rFonts w:ascii="Arial" w:cs="Arial" w:eastAsia="Arial" w:hAnsi="Arial"/>
          <w:b/>
          <w:bCs/>
          <w:color w:val="0D1B2A"/>
          <w:sz w:val="22"/>
          <w:szCs w:val="22"/>
        </w:rPr>
        <w:t xml:space="preserve">Milestone: </w:t>
      </w:r>
      <w:r>
        <w:rPr>
          <w:rFonts w:ascii="Arial" w:cs="Arial" w:eastAsia="Arial" w:hAnsi="Arial"/>
          <w:b w:val="false"/>
          <w:bCs w:val="false"/>
          <w:color w:val="0D1B2A"/>
          <w:sz w:val="22"/>
          <w:szCs w:val="22"/>
        </w:rPr>
        <w:t xml:space="preserve">System detects injected anomaly, logs to SQLite, and delivers a raw alert to Telegram within 10 seconds. SKILL.md contracts reviewed and finalized.</w:t>
      </w:r>
    </w:p>
    <w:p>
      <w:pPr>
        <w:spacing w:after="0" w:before="0"/>
      </w:pPr>
      <w:r>
        <w:t xml:space="preserve"/>
      </w:r>
    </w:p>
    <w:p>
      <w:pPr>
        <w:pStyle w:val="Heading2"/>
        <w:spacing w:after="80" w:before="240"/>
      </w:pPr>
      <w:r>
        <w:rPr>
          <w:rFonts w:ascii="Arial" w:cs="Arial" w:eastAsia="Arial" w:hAnsi="Arial"/>
          <w:b/>
          <w:bCs/>
          <w:color w:val="1B4F72"/>
          <w:sz w:val="28"/>
          <w:szCs w:val="28"/>
        </w:rPr>
        <w:t xml:space="preserve">Phase 2: Semantic Correlation Engine (Week 2: May 2 – May 8)</w:t>
      </w:r>
    </w:p>
    <w:p>
      <w:pPr>
        <w:spacing w:after="80" w:before="0"/>
      </w:pPr>
      <w:r>
        <w:rPr>
          <w:rFonts w:ascii="Arial" w:cs="Arial" w:eastAsia="Arial" w:hAnsi="Arial"/>
          <w:b w:val="false"/>
          <w:bCs w:val="false"/>
          <w:color w:val="0D1B2A"/>
          <w:sz w:val="22"/>
          <w:szCs w:val="22"/>
        </w:rPr>
        <w:t xml:space="preserve">Objective: First-round submission with working semantic correlation. GitHub repository contains a buildable, demonstrable codebase.</w:t>
      </w:r>
    </w:p>
    <w:p>
      <w:pPr>
        <w:pStyle w:val="ListParagraph"/>
        <w:numPr>
          <w:ilvl w:val="0"/>
          <w:numId w:val="2"/>
        </w:numPr>
        <w:spacing w:after="60" w:before="0"/>
      </w:pPr>
      <w:r>
        <w:rPr>
          <w:rFonts w:ascii="Arial" w:cs="Arial" w:eastAsia="Arial" w:hAnsi="Arial"/>
          <w:b/>
          <w:bCs/>
          <w:color w:val="0D1B2A"/>
          <w:sz w:val="22"/>
          <w:szCs w:val="22"/>
        </w:rPr>
        <w:t xml:space="preserve">Task 2.1: </w:t>
      </w:r>
      <w:r>
        <w:rPr>
          <w:rFonts w:ascii="Arial" w:cs="Arial" w:eastAsia="Arial" w:hAnsi="Arial"/>
          <w:b w:val="false"/>
          <w:bCs w:val="false"/>
          <w:color w:val="0D1B2A"/>
          <w:sz w:val="22"/>
          <w:szCs w:val="22"/>
        </w:rPr>
        <w:t xml:space="preserve">Integrate BGE-m3 with CUDA-accelerated PyTorch. Implement dynamic batching on the FastAPI /embed endpoint. Initialize ChromaDB with HNSW indexing and temporal metadata fields.</w:t>
      </w:r>
    </w:p>
    <w:p>
      <w:pPr>
        <w:pStyle w:val="ListParagraph"/>
        <w:numPr>
          <w:ilvl w:val="0"/>
          <w:numId w:val="2"/>
        </w:numPr>
        <w:spacing w:after="60" w:before="0"/>
      </w:pPr>
      <w:r>
        <w:rPr>
          <w:rFonts w:ascii="Arial" w:cs="Arial" w:eastAsia="Arial" w:hAnsi="Arial"/>
          <w:b/>
          <w:bCs/>
          <w:color w:val="0D1B2A"/>
          <w:sz w:val="22"/>
          <w:szCs w:val="22"/>
        </w:rPr>
        <w:t xml:space="preserve">Task 2.2: </w:t>
      </w:r>
      <w:r>
        <w:rPr>
          <w:rFonts w:ascii="Arial" w:cs="Arial" w:eastAsia="Arial" w:hAnsi="Arial"/>
          <w:b w:val="false"/>
          <w:bCs w:val="false"/>
          <w:color w:val="0D1B2A"/>
          <w:sz w:val="22"/>
          <w:szCs w:val="22"/>
        </w:rPr>
        <w:t xml:space="preserve">Implement Correlation SKILL.md with sliding-window vector search (±2-hour temporal bounding). Wire pybreaker circuit breaker on all FastAPI calls from OpenClaw.</w:t>
      </w:r>
    </w:p>
    <w:p>
      <w:pPr>
        <w:pStyle w:val="ListParagraph"/>
        <w:numPr>
          <w:ilvl w:val="0"/>
          <w:numId w:val="2"/>
        </w:numPr>
        <w:spacing w:after="60" w:before="0"/>
      </w:pPr>
      <w:r>
        <w:rPr>
          <w:rFonts w:ascii="Arial" w:cs="Arial" w:eastAsia="Arial" w:hAnsi="Arial"/>
          <w:b/>
          <w:bCs/>
          <w:color w:val="0D1B2A"/>
          <w:sz w:val="22"/>
          <w:szCs w:val="22"/>
        </w:rPr>
        <w:t xml:space="preserve">Task 2.3: </w:t>
      </w:r>
      <w:r>
        <w:rPr>
          <w:rFonts w:ascii="Arial" w:cs="Arial" w:eastAsia="Arial" w:hAnsi="Arial"/>
          <w:b w:val="false"/>
          <w:bCs w:val="false"/>
          <w:color w:val="0D1B2A"/>
          <w:sz w:val="22"/>
          <w:szCs w:val="22"/>
        </w:rPr>
        <w:t xml:space="preserve">Implement Timeline SKILL.md with Qwen 2.5 Ollama integration. Enforce JSON mode. Implement Pydantic validation with 3-retry fallback and dead-letter queue escalation path.</w:t>
      </w:r>
    </w:p>
    <w:p>
      <w:pPr>
        <w:pStyle w:val="ListParagraph"/>
        <w:numPr>
          <w:ilvl w:val="0"/>
          <w:numId w:val="2"/>
        </w:numPr>
        <w:spacing w:after="60" w:before="0"/>
      </w:pPr>
      <w:r>
        <w:rPr>
          <w:rFonts w:ascii="Arial" w:cs="Arial" w:eastAsia="Arial" w:hAnsi="Arial"/>
          <w:b/>
          <w:bCs/>
          <w:color w:val="0D1B2A"/>
          <w:sz w:val="22"/>
          <w:szCs w:val="22"/>
        </w:rPr>
        <w:t xml:space="preserve">Task 2.4: </w:t>
      </w:r>
      <w:r>
        <w:rPr>
          <w:rFonts w:ascii="Arial" w:cs="Arial" w:eastAsia="Arial" w:hAnsi="Arial"/>
          <w:b w:val="false"/>
          <w:bCs w:val="false"/>
          <w:color w:val="0D1B2A"/>
          <w:sz w:val="22"/>
          <w:szCs w:val="22"/>
        </w:rPr>
        <w:t xml:space="preserve">Add MITRE ATT&amp;CK mapping to the Timeline SKILL.md prompt. Validate ATT&amp;CK IDs appear correctly in Telegram output.</w:t>
      </w:r>
    </w:p>
    <w:p>
      <w:pPr>
        <w:pStyle w:val="ListParagraph"/>
        <w:numPr>
          <w:ilvl w:val="0"/>
          <w:numId w:val="2"/>
        </w:numPr>
        <w:spacing w:after="60" w:before="0"/>
      </w:pPr>
      <w:r>
        <w:rPr>
          <w:rFonts w:ascii="Arial" w:cs="Arial" w:eastAsia="Arial" w:hAnsi="Arial"/>
          <w:b/>
          <w:bCs/>
          <w:color w:val="0D1B2A"/>
          <w:sz w:val="22"/>
          <w:szCs w:val="22"/>
        </w:rPr>
        <w:t xml:space="preserve">Milestone: </w:t>
      </w:r>
      <w:r>
        <w:rPr>
          <w:rFonts w:ascii="Arial" w:cs="Arial" w:eastAsia="Arial" w:hAnsi="Arial"/>
          <w:b w:val="false"/>
          <w:bCs w:val="false"/>
          <w:color w:val="0D1B2A"/>
          <w:sz w:val="22"/>
          <w:szCs w:val="22"/>
        </w:rPr>
        <w:t xml:space="preserve">First-round submission (May 8). Full semantic correlation demonstrable. ATT&amp;CK IDs present in output. SKILL.md contracts implemented and matching specifications.</w:t>
      </w:r>
    </w:p>
    <w:p>
      <w:pPr>
        <w:spacing w:after="0" w:before="0"/>
      </w:pPr>
      <w:r>
        <w:t xml:space="preserve"/>
      </w:r>
    </w:p>
    <w:p>
      <w:pPr>
        <w:pStyle w:val="Heading2"/>
        <w:spacing w:after="80" w:before="240"/>
      </w:pPr>
      <w:r>
        <w:rPr>
          <w:rFonts w:ascii="Arial" w:cs="Arial" w:eastAsia="Arial" w:hAnsi="Arial"/>
          <w:b/>
          <w:bCs/>
          <w:color w:val="1B4F72"/>
          <w:sz w:val="28"/>
          <w:szCs w:val="28"/>
        </w:rPr>
        <w:t xml:space="preserve">Phase 3: Graph UI, Hardening &amp; Polish (Week 3: May 9 – May 19)</w:t>
      </w:r>
    </w:p>
    <w:p>
      <w:pPr>
        <w:spacing w:after="80" w:before="0"/>
      </w:pPr>
      <w:r>
        <w:rPr>
          <w:rFonts w:ascii="Arial" w:cs="Arial" w:eastAsia="Arial" w:hAnsi="Arial"/>
          <w:b w:val="false"/>
          <w:bCs w:val="false"/>
          <w:color w:val="0D1B2A"/>
          <w:sz w:val="22"/>
          <w:szCs w:val="22"/>
        </w:rPr>
        <w:t xml:space="preserve">Objective: Final submission with knowledge graph, demo scenarios, and hardened failure paths.</w:t>
      </w:r>
    </w:p>
    <w:p>
      <w:pPr>
        <w:pStyle w:val="ListParagraph"/>
        <w:numPr>
          <w:ilvl w:val="0"/>
          <w:numId w:val="2"/>
        </w:numPr>
        <w:spacing w:after="60" w:before="0"/>
      </w:pPr>
      <w:r>
        <w:rPr>
          <w:rFonts w:ascii="Arial" w:cs="Arial" w:eastAsia="Arial" w:hAnsi="Arial"/>
          <w:b/>
          <w:bCs/>
          <w:color w:val="0D1B2A"/>
          <w:sz w:val="22"/>
          <w:szCs w:val="22"/>
        </w:rPr>
        <w:t xml:space="preserve">Task 3.1: </w:t>
      </w:r>
      <w:r>
        <w:rPr>
          <w:rFonts w:ascii="Arial" w:cs="Arial" w:eastAsia="Arial" w:hAnsi="Arial"/>
          <w:b w:val="false"/>
          <w:bCs w:val="false"/>
          <w:color w:val="0D1B2A"/>
          <w:sz w:val="22"/>
          <w:szCs w:val="22"/>
        </w:rPr>
        <w:t xml:space="preserve">Implement Graph Construction Agent. Deploy Cytoscape.js UI with Flask local server. Connect WebSocket for real-time entity updates during live demo.</w:t>
      </w:r>
    </w:p>
    <w:p>
      <w:pPr>
        <w:pStyle w:val="ListParagraph"/>
        <w:numPr>
          <w:ilvl w:val="0"/>
          <w:numId w:val="2"/>
        </w:numPr>
        <w:spacing w:after="60" w:before="0"/>
      </w:pPr>
      <w:r>
        <w:rPr>
          <w:rFonts w:ascii="Arial" w:cs="Arial" w:eastAsia="Arial" w:hAnsi="Arial"/>
          <w:b/>
          <w:bCs/>
          <w:color w:val="0D1B2A"/>
          <w:sz w:val="22"/>
          <w:szCs w:val="22"/>
        </w:rPr>
        <w:t xml:space="preserve">Task 3.2: </w:t>
      </w:r>
      <w:r>
        <w:rPr>
          <w:rFonts w:ascii="Arial" w:cs="Arial" w:eastAsia="Arial" w:hAnsi="Arial"/>
          <w:b w:val="false"/>
          <w:bCs w:val="false"/>
          <w:color w:val="0D1B2A"/>
          <w:sz w:val="22"/>
          <w:szCs w:val="22"/>
        </w:rPr>
        <w:t xml:space="preserve">Implement log sanitization layer (prompt injection defense). Add OpenClaw RBAC credential scoping per skill. Apply seccomp profiles to Docker containers.</w:t>
      </w:r>
    </w:p>
    <w:p>
      <w:pPr>
        <w:pStyle w:val="ListParagraph"/>
        <w:numPr>
          <w:ilvl w:val="0"/>
          <w:numId w:val="2"/>
        </w:numPr>
        <w:spacing w:after="60" w:before="0"/>
      </w:pPr>
      <w:r>
        <w:rPr>
          <w:rFonts w:ascii="Arial" w:cs="Arial" w:eastAsia="Arial" w:hAnsi="Arial"/>
          <w:b/>
          <w:bCs/>
          <w:color w:val="0D1B2A"/>
          <w:sz w:val="22"/>
          <w:szCs w:val="22"/>
        </w:rPr>
        <w:t xml:space="preserve">Task 3.3: </w:t>
      </w:r>
      <w:r>
        <w:rPr>
          <w:rFonts w:ascii="Arial" w:cs="Arial" w:eastAsia="Arial" w:hAnsi="Arial"/>
          <w:b w:val="false"/>
          <w:bCs w:val="false"/>
          <w:color w:val="0D1B2A"/>
          <w:sz w:val="22"/>
          <w:szCs w:val="22"/>
        </w:rPr>
        <w:t xml:space="preserve">Execute ablation testing: semantic embedding vs. baseline keyword matching. Stress test with concurrent anomaly injection to validate priority queue and circuit breaker behavior.</w:t>
      </w:r>
    </w:p>
    <w:p>
      <w:pPr>
        <w:pStyle w:val="ListParagraph"/>
        <w:numPr>
          <w:ilvl w:val="0"/>
          <w:numId w:val="2"/>
        </w:numPr>
        <w:spacing w:after="60" w:before="0"/>
      </w:pPr>
      <w:r>
        <w:rPr>
          <w:rFonts w:ascii="Arial" w:cs="Arial" w:eastAsia="Arial" w:hAnsi="Arial"/>
          <w:b/>
          <w:bCs/>
          <w:color w:val="0D1B2A"/>
          <w:sz w:val="22"/>
          <w:szCs w:val="22"/>
        </w:rPr>
        <w:t xml:space="preserve">Task 3.4: </w:t>
      </w:r>
      <w:r>
        <w:rPr>
          <w:rFonts w:ascii="Arial" w:cs="Arial" w:eastAsia="Arial" w:hAnsi="Arial"/>
          <w:b w:val="false"/>
          <w:bCs w:val="false"/>
          <w:color w:val="0D1B2A"/>
          <w:sz w:val="22"/>
          <w:szCs w:val="22"/>
        </w:rPr>
        <w:t xml:space="preserve">Optimize Qwen 2.5 prompts for hallucination-free forensic output. Add confidence score display to all reports. Record 10-minute demo video covering 2–3 attack scenarios.</w:t>
      </w:r>
    </w:p>
    <w:p>
      <w:pPr>
        <w:pStyle w:val="ListParagraph"/>
        <w:numPr>
          <w:ilvl w:val="0"/>
          <w:numId w:val="2"/>
        </w:numPr>
        <w:spacing w:after="60" w:before="0"/>
      </w:pPr>
      <w:r>
        <w:rPr>
          <w:rFonts w:ascii="Arial" w:cs="Arial" w:eastAsia="Arial" w:hAnsi="Arial"/>
          <w:b/>
          <w:bCs/>
          <w:color w:val="0D1B2A"/>
          <w:sz w:val="22"/>
          <w:szCs w:val="22"/>
        </w:rPr>
        <w:t xml:space="preserve">Milestone: </w:t>
      </w:r>
      <w:r>
        <w:rPr>
          <w:rFonts w:ascii="Arial" w:cs="Arial" w:eastAsia="Arial" w:hAnsi="Arial"/>
          <w:b w:val="false"/>
          <w:bCs w:val="false"/>
          <w:color w:val="0D1B2A"/>
          <w:sz w:val="22"/>
          <w:szCs w:val="22"/>
        </w:rPr>
        <w:t xml:space="preserve">Final Demo Submission (May 19). Knowledge graph live. All failure paths validated. Demo video complete.</w:t>
      </w:r>
    </w:p>
    <w:p>
      <w:pPr>
        <w:spacing w:after="0" w:before="0"/>
      </w:pPr>
      <w:r>
        <w:t xml:space="preserve"/>
      </w:r>
    </w:p>
    <w:p>
      <w:pPr>
        <w:pStyle w:val="Heading1"/>
        <w:pBdr>
          <w:bottom w:val="single" w:color="2E86C1" w:sz="8" w:space="4"/>
        </w:pBdr>
        <w:spacing w:after="120" w:before="360"/>
      </w:pPr>
      <w:r>
        <w:rPr>
          <w:rFonts w:ascii="Arial" w:cs="Arial" w:eastAsia="Arial" w:hAnsi="Arial"/>
          <w:b/>
          <w:bCs/>
          <w:color w:val="0D1B2A"/>
          <w:sz w:val="36"/>
          <w:szCs w:val="36"/>
        </w:rPr>
        <w:t xml:space="preserve">5. Risk Mitigation &amp; Future Scalability</w:t>
      </w:r>
    </w:p>
    <w:p>
      <w:pPr>
        <w:pStyle w:val="Heading2"/>
        <w:spacing w:after="80" w:before="240"/>
      </w:pPr>
      <w:r>
        <w:rPr>
          <w:rFonts w:ascii="Arial" w:cs="Arial" w:eastAsia="Arial" w:hAnsi="Arial"/>
          <w:b/>
          <w:bCs/>
          <w:color w:val="1B4F72"/>
          <w:sz w:val="28"/>
          <w:szCs w:val="28"/>
        </w:rPr>
        <w:t xml:space="preserve">5.1 Security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3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Prompt injection via crafted logs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Log sanitization pipeline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Strip code blocks and instruction patterns before LLM injection</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Skill sandbox escape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Docker read-only mounts + seccomp</w:t>
            </w:r>
          </w:p>
        </w:tc>
        <w:tc>
          <w:tcPr>
            <w:tcW w:type="dxa" w:w="3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No host filesystem write access; network-disabled skill containers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LLM hallucination in forensic output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Pydantic validation + retry + confidence score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3-retry fallback; dead-letter escalation; all reports include confidence %</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Chain-of-custody compromise</w:t>
            </w:r>
          </w:p>
        </w:tc>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SHA-256 on ingestion; SQLite WAL</w:t>
            </w:r>
          </w:p>
        </w:tc>
        <w:tc>
          <w:tcPr>
            <w:tcW w:type="dxa" w:w="3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0D1B2A"/>
                <w:sz w:val="20"/>
                <w:szCs w:val="20"/>
              </w:rPr>
              <w:t xml:space="preserve">Immutable raw log store; hash verified on every retrieval</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Unauthorized skill credential access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OpenClaw RBAC + credential vault</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Per-skill credential scoping; no cross-skill secret access</w:t>
            </w:r>
          </w:p>
        </w:tc>
      </w:tr>
    </w:tbl>
    <w:p>
      <w:pPr>
        <w:spacing w:after="0" w:before="0"/>
      </w:pPr>
      <w:r>
        <w:t xml:space="preserve"/>
      </w:r>
    </w:p>
    <w:p>
      <w:pPr>
        <w:pStyle w:val="Heading2"/>
        <w:spacing w:after="80" w:before="240"/>
      </w:pPr>
      <w:r>
        <w:rPr>
          <w:rFonts w:ascii="Arial" w:cs="Arial" w:eastAsia="Arial" w:hAnsi="Arial"/>
          <w:b/>
          <w:bCs/>
          <w:color w:val="1B4F72"/>
          <w:sz w:val="28"/>
          <w:szCs w:val="28"/>
        </w:rPr>
        <w:t xml:space="preserve">5.2 Latency &amp; Concurrency Risk Mitigation</w:t>
      </w:r>
    </w:p>
    <w:p>
      <w:pPr>
        <w:pStyle w:val="ListParagraph"/>
        <w:numPr>
          <w:ilvl w:val="0"/>
          <w:numId w:val="2"/>
        </w:numPr>
        <w:spacing w:after="60" w:before="0"/>
      </w:pPr>
      <w:r>
        <w:rPr>
          <w:rFonts w:ascii="Arial" w:cs="Arial" w:eastAsia="Arial" w:hAnsi="Arial"/>
          <w:b/>
          <w:bCs/>
          <w:color w:val="0D1B2A"/>
          <w:sz w:val="22"/>
          <w:szCs w:val="22"/>
        </w:rPr>
        <w:t xml:space="preserve">Embedding throughput: </w:t>
      </w:r>
      <w:r>
        <w:rPr>
          <w:rFonts w:ascii="Arial" w:cs="Arial" w:eastAsia="Arial" w:hAnsi="Arial"/>
          <w:b w:val="false"/>
          <w:bCs w:val="false"/>
          <w:color w:val="0D1B2A"/>
          <w:sz w:val="22"/>
          <w:szCs w:val="22"/>
        </w:rPr>
        <w:t xml:space="preserve">CUDA-accelerated BGE-m3 with dynamic batching. Monitor queue depth as primary performance KPI. Alert if queue depth exceeds 50 entries.</w:t>
      </w:r>
    </w:p>
    <w:p>
      <w:pPr>
        <w:pStyle w:val="ListParagraph"/>
        <w:numPr>
          <w:ilvl w:val="0"/>
          <w:numId w:val="2"/>
        </w:numPr>
        <w:spacing w:after="60" w:before="0"/>
      </w:pPr>
      <w:r>
        <w:rPr>
          <w:rFonts w:ascii="Arial" w:cs="Arial" w:eastAsia="Arial" w:hAnsi="Arial"/>
          <w:b/>
          <w:bCs/>
          <w:color w:val="0D1B2A"/>
          <w:sz w:val="22"/>
          <w:szCs w:val="22"/>
        </w:rPr>
        <w:t xml:space="preserve">LLM contention: </w:t>
      </w:r>
      <w:r>
        <w:rPr>
          <w:rFonts w:ascii="Arial" w:cs="Arial" w:eastAsia="Arial" w:hAnsi="Arial"/>
          <w:b w:val="false"/>
          <w:bCs w:val="false"/>
          <w:color w:val="0D1B2A"/>
          <w:sz w:val="22"/>
          <w:szCs w:val="22"/>
        </w:rPr>
        <w:t xml:space="preserve">Single-worker asyncio.PriorityQueue ensures Qwen 2.5 Ollama receives only one inference request at a time. P0 alerts preempt P1/P2.</w:t>
      </w:r>
    </w:p>
    <w:p>
      <w:pPr>
        <w:pStyle w:val="ListParagraph"/>
        <w:numPr>
          <w:ilvl w:val="0"/>
          <w:numId w:val="2"/>
        </w:numPr>
        <w:spacing w:after="60" w:before="0"/>
      </w:pPr>
      <w:r>
        <w:rPr>
          <w:rFonts w:ascii="Arial" w:cs="Arial" w:eastAsia="Arial" w:hAnsi="Arial"/>
          <w:b/>
          <w:bCs/>
          <w:color w:val="0D1B2A"/>
          <w:sz w:val="22"/>
          <w:szCs w:val="22"/>
        </w:rPr>
        <w:t xml:space="preserve">FastAPI failure: </w:t>
      </w:r>
      <w:r>
        <w:rPr>
          <w:rFonts w:ascii="Arial" w:cs="Arial" w:eastAsia="Arial" w:hAnsi="Arial"/>
          <w:b w:val="false"/>
          <w:bCs w:val="false"/>
          <w:color w:val="0D1B2A"/>
          <w:sz w:val="22"/>
          <w:szCs w:val="22"/>
        </w:rPr>
        <w:t xml:space="preserve">pybreaker with 30-second timeout, 3-failure threshold, 60-second recovery window. Failed invocations route to dead-letter queue with analyst notification.</w:t>
      </w:r>
    </w:p>
    <w:p>
      <w:pPr>
        <w:pStyle w:val="ListParagraph"/>
        <w:numPr>
          <w:ilvl w:val="0"/>
          <w:numId w:val="2"/>
        </w:numPr>
        <w:spacing w:after="60" w:before="0"/>
      </w:pPr>
      <w:r>
        <w:rPr>
          <w:rFonts w:ascii="Arial" w:cs="Arial" w:eastAsia="Arial" w:hAnsi="Arial"/>
          <w:b/>
          <w:bCs/>
          <w:color w:val="0D1B2A"/>
          <w:sz w:val="22"/>
          <w:szCs w:val="22"/>
        </w:rPr>
        <w:t xml:space="preserve">Context window overflow: </w:t>
      </w:r>
      <w:r>
        <w:rPr>
          <w:rFonts w:ascii="Arial" w:cs="Arial" w:eastAsia="Arial" w:hAnsi="Arial"/>
          <w:b w:val="false"/>
          <w:bCs w:val="false"/>
          <w:color w:val="0D1B2A"/>
          <w:sz w:val="22"/>
          <w:szCs w:val="22"/>
        </w:rPr>
        <w:t xml:space="preserve">OpenClaw Cognitive RAM pages context from disk; cluster size limited to 20 nearest neighbors to bound token consumption.</w:t>
      </w:r>
    </w:p>
    <w:p>
      <w:pPr>
        <w:spacing w:after="0" w:before="0"/>
      </w:pPr>
      <w:r>
        <w:t xml:space="preserve"/>
      </w:r>
    </w:p>
    <w:p>
      <w:pPr>
        <w:pStyle w:val="Heading2"/>
        <w:spacing w:after="80" w:before="240"/>
      </w:pPr>
      <w:r>
        <w:rPr>
          <w:rFonts w:ascii="Arial" w:cs="Arial" w:eastAsia="Arial" w:hAnsi="Arial"/>
          <w:b/>
          <w:bCs/>
          <w:color w:val="1B4F72"/>
          <w:sz w:val="28"/>
          <w:szCs w:val="28"/>
        </w:rPr>
        <w:t xml:space="preserve">5.3 Future Scalability Pathway</w:t>
      </w:r>
    </w:p>
    <w:p>
      <w:pPr>
        <w:spacing w:after="80" w:before="0"/>
      </w:pPr>
      <w:r>
        <w:rPr>
          <w:rFonts w:ascii="Arial" w:cs="Arial" w:eastAsia="Arial" w:hAnsi="Arial"/>
          <w:b w:val="false"/>
          <w:bCs w:val="false"/>
          <w:color w:val="0D1B2A"/>
          <w:sz w:val="22"/>
          <w:szCs w:val="22"/>
        </w:rPr>
        <w:t xml:space="preserve">The current architecture is explicitly designed with upgrade paths at each bottleneck:</w:t>
      </w:r>
    </w:p>
    <w:p>
      <w:pPr>
        <w:pStyle w:val="ListParagraph"/>
        <w:numPr>
          <w:ilvl w:val="0"/>
          <w:numId w:val="2"/>
        </w:numPr>
        <w:spacing w:after="60" w:before="0"/>
      </w:pPr>
      <w:r>
        <w:rPr>
          <w:rFonts w:ascii="Arial" w:cs="Arial" w:eastAsia="Arial" w:hAnsi="Arial"/>
          <w:b/>
          <w:bCs/>
          <w:color w:val="0D1B2A"/>
          <w:sz w:val="22"/>
          <w:szCs w:val="22"/>
        </w:rPr>
        <w:t xml:space="preserve">Ingestion Scaling: </w:t>
      </w:r>
      <w:r>
        <w:rPr>
          <w:rFonts w:ascii="Arial" w:cs="Arial" w:eastAsia="Arial" w:hAnsi="Arial"/>
          <w:b w:val="false"/>
          <w:bCs w:val="false"/>
          <w:color w:val="0D1B2A"/>
          <w:sz w:val="22"/>
          <w:szCs w:val="22"/>
        </w:rPr>
        <w:t xml:space="preserve">asyncio.PriorityQueue → Apache Kafka or Redis Streams partitioned by log source. Multiple OpenClaw Triage Agent instances consume partitions concurrently without code changes to the SKILL.md contracts.</w:t>
      </w:r>
    </w:p>
    <w:p>
      <w:pPr>
        <w:pStyle w:val="ListParagraph"/>
        <w:numPr>
          <w:ilvl w:val="0"/>
          <w:numId w:val="2"/>
        </w:numPr>
        <w:spacing w:after="60" w:before="0"/>
      </w:pPr>
      <w:r>
        <w:rPr>
          <w:rFonts w:ascii="Arial" w:cs="Arial" w:eastAsia="Arial" w:hAnsi="Arial"/>
          <w:b/>
          <w:bCs/>
          <w:color w:val="0D1B2A"/>
          <w:sz w:val="22"/>
          <w:szCs w:val="22"/>
        </w:rPr>
        <w:t xml:space="preserve">Vector Store Scaling: </w:t>
      </w:r>
      <w:r>
        <w:rPr>
          <w:rFonts w:ascii="Arial" w:cs="Arial" w:eastAsia="Arial" w:hAnsi="Arial"/>
          <w:b w:val="false"/>
          <w:bCs w:val="false"/>
          <w:color w:val="0D1B2A"/>
          <w:sz w:val="22"/>
          <w:szCs w:val="22"/>
        </w:rPr>
        <w:t xml:space="preserve">ChromaDB hot/cold tiering: 72-hour active index → disk-backed archive index → dedicated Deep Archive Retrieval skill for historical queries beyond the active window.</w:t>
      </w:r>
    </w:p>
    <w:p>
      <w:pPr>
        <w:pStyle w:val="ListParagraph"/>
        <w:numPr>
          <w:ilvl w:val="0"/>
          <w:numId w:val="2"/>
        </w:numPr>
        <w:spacing w:after="60" w:before="0"/>
      </w:pPr>
      <w:r>
        <w:rPr>
          <w:rFonts w:ascii="Arial" w:cs="Arial" w:eastAsia="Arial" w:hAnsi="Arial"/>
          <w:b/>
          <w:bCs/>
          <w:color w:val="0D1B2A"/>
          <w:sz w:val="22"/>
          <w:szCs w:val="22"/>
        </w:rPr>
        <w:t xml:space="preserve">Multi-Tenant Enterprise: </w:t>
      </w:r>
      <w:r>
        <w:rPr>
          <w:rFonts w:ascii="Arial" w:cs="Arial" w:eastAsia="Arial" w:hAnsi="Arial"/>
          <w:b w:val="false"/>
          <w:bCs w:val="false"/>
          <w:color w:val="0D1B2A"/>
          <w:sz w:val="22"/>
          <w:szCs w:val="22"/>
        </w:rPr>
        <w:t xml:space="preserve">Add OpenClaw workspace isolation per tenant. Separate ChromaDB collections per organization. Single inference endpoint with queued multi-tenant job scheduling.</w:t>
      </w:r>
    </w:p>
    <w:p>
      <w:pPr>
        <w:pStyle w:val="ListParagraph"/>
        <w:numPr>
          <w:ilvl w:val="0"/>
          <w:numId w:val="2"/>
        </w:numPr>
        <w:spacing w:after="60" w:before="0"/>
      </w:pPr>
      <w:r>
        <w:rPr>
          <w:rFonts w:ascii="Arial" w:cs="Arial" w:eastAsia="Arial" w:hAnsi="Arial"/>
          <w:b/>
          <w:bCs/>
          <w:color w:val="0D1B2A"/>
          <w:sz w:val="22"/>
          <w:szCs w:val="22"/>
        </w:rPr>
        <w:t xml:space="preserve">LLM Upgrade Path: </w:t>
      </w:r>
      <w:r>
        <w:rPr>
          <w:rFonts w:ascii="Arial" w:cs="Arial" w:eastAsia="Arial" w:hAnsi="Arial"/>
          <w:b w:val="false"/>
          <w:bCs w:val="false"/>
          <w:color w:val="0D1B2A"/>
          <w:sz w:val="22"/>
          <w:szCs w:val="22"/>
        </w:rPr>
        <w:t xml:space="preserve">Qwen 2.5-7B → Qwen 2.5-14B or Llama 3.1-8B with no architectural change. Ollama model tag is a single configuration value in the Timeline SKILL.md.</w:t>
      </w:r>
    </w:p>
    <w:p>
      <w:pPr>
        <w:spacing w:after="0" w:before="0"/>
      </w:pPr>
      <w:r>
        <w:t xml:space="preserve"/>
      </w:r>
    </w:p>
    <w:p>
      <w:r>
        <w:br w:type="page"/>
      </w:r>
    </w:p>
    <w:p>
      <w:pPr>
        <w:pStyle w:val="Heading1"/>
        <w:pBdr>
          <w:bottom w:val="single" w:color="2E86C1" w:sz="8" w:space="4"/>
        </w:pBdr>
        <w:spacing w:after="120" w:before="360"/>
      </w:pPr>
      <w:r>
        <w:rPr>
          <w:rFonts w:ascii="Arial" w:cs="Arial" w:eastAsia="Arial" w:hAnsi="Arial"/>
          <w:b/>
          <w:bCs/>
          <w:color w:val="0D1B2A"/>
          <w:sz w:val="36"/>
          <w:szCs w:val="36"/>
        </w:rPr>
        <w:t xml:space="preserve">Appendix A: SKILL.md Interface Contracts</w:t>
      </w:r>
    </w:p>
    <w:p>
      <w:pPr>
        <w:spacing w:after="80" w:before="0"/>
      </w:pPr>
      <w:r>
        <w:rPr>
          <w:rFonts w:ascii="Arial" w:cs="Arial" w:eastAsia="Arial" w:hAnsi="Arial"/>
          <w:b w:val="false"/>
          <w:bCs w:val="false"/>
          <w:color w:val="566573"/>
          <w:sz w:val="22"/>
          <w:szCs w:val="22"/>
        </w:rPr>
        <w:t xml:space="preserve">The following defines the formal interface contract for each OpenClaw skill. These contracts are the binding API between the orchestrator and the execution layer.</w:t>
      </w:r>
    </w:p>
    <w:p>
      <w:pPr>
        <w:spacing w:after="0" w:before="0"/>
      </w:pPr>
      <w:r>
        <w:t xml:space="preserve"/>
      </w:r>
    </w:p>
    <w:p>
      <w:pPr>
        <w:pStyle w:val="Heading2"/>
        <w:spacing w:after="80" w:before="240"/>
      </w:pPr>
      <w:r>
        <w:rPr>
          <w:rFonts w:ascii="Arial" w:cs="Arial" w:eastAsia="Arial" w:hAnsi="Arial"/>
          <w:b/>
          <w:bCs/>
          <w:color w:val="1B4F72"/>
          <w:sz w:val="28"/>
          <w:szCs w:val="28"/>
        </w:rPr>
        <w:t xml:space="preserve">A.1 Triage SKILL.md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log_entry: NormalizedLogEntry, queue_timestamp: ISO8601, priority_hint: number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anomaly_detected: boolean, severity: "P0"|"P1"|"P2"|"BENIGN", heuristic_flags: string[], correlation_required: boolean, confidence: number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FAILURE</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On any exception: emit { error: ErrorCode, raw_entry: NormalizedLogEntry } to dead-letter queue. Never throw to orchestrator.</w:t>
            </w:r>
          </w:p>
        </w:tc>
      </w:tr>
    </w:tbl>
    <w:p>
      <w:pPr>
        <w:spacing w:after="0" w:before="0"/>
      </w:pPr>
      <w:r>
        <w:t xml:space="preserve"/>
      </w:r>
    </w:p>
    <w:p>
      <w:pPr>
        <w:pStyle w:val="Heading2"/>
        <w:spacing w:after="80" w:before="240"/>
      </w:pPr>
      <w:r>
        <w:rPr>
          <w:rFonts w:ascii="Arial" w:cs="Arial" w:eastAsia="Arial" w:hAnsi="Arial"/>
          <w:b/>
          <w:bCs/>
          <w:color w:val="1B4F72"/>
          <w:sz w:val="28"/>
          <w:szCs w:val="28"/>
        </w:rPr>
        <w:t xml:space="preserve">A.2 Correlation SKILL.md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target_vector: float[384], time_window_hours: number, confidence_threshold: number, source_log_uuid: UUID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correlated_uuids: UUID[], cosine_scores: number[], cluster_size: number, temporal_span_minutes: number, cold_start: boolean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FAILURE</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If cold_start=true (empty vector store): return minimal cluster with cold_start flag. Timeline SKILL.md handles cold-start narrative gracefully. Circuit breaker activates after 3 FastAPI timeouts.</w:t>
            </w:r>
          </w:p>
        </w:tc>
      </w:tr>
    </w:tbl>
    <w:p>
      <w:pPr>
        <w:spacing w:after="0" w:before="0"/>
      </w:pPr>
      <w:r>
        <w:t xml:space="preserve"/>
      </w:r>
    </w:p>
    <w:p>
      <w:pPr>
        <w:pStyle w:val="Heading2"/>
        <w:spacing w:after="80" w:before="240"/>
      </w:pPr>
      <w:r>
        <w:rPr>
          <w:rFonts w:ascii="Arial" w:cs="Arial" w:eastAsia="Arial" w:hAnsi="Arial"/>
          <w:b/>
          <w:bCs/>
          <w:color w:val="1B4F72"/>
          <w:sz w:val="28"/>
          <w:szCs w:val="28"/>
        </w:rPr>
        <w:t xml:space="preserve">A.3 Timeline SKILL.md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correlated_cluster: LogEntry[], similarity_scores: number[], source_severity: string, incident_id: UUID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 narrative: string, confidence: number, mitre_tactics: string[], mitre_techniques: string[], entities: EntityNode[], timeline_events: TimelineEvent[], root_cause: string, report_id: UUID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FAILURE</w:t>
            </w:r>
          </w:p>
        </w:tc>
        <w:tc>
          <w:tcPr>
            <w:tcW w:type="dxa" w:w="816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2"/>
                <w:szCs w:val="22"/>
              </w:rPr>
              <w:t xml:space="preserve">Pydantic validation failure → retry at temperature=0.1 (max 3 attempts). After 3 failures: emit raw cluster to dead-letter queue, push analyst notification: 'Automated timeline failed. Manual review required.' with correlated log UUIDs attached.</w:t>
            </w:r>
          </w:p>
        </w:tc>
      </w:tr>
    </w:tbl>
    <w:p>
      <w:pPr>
        <w:spacing w:after="0" w:before="0"/>
      </w:pPr>
      <w:r>
        <w:t xml:space="preserve"/>
      </w:r>
    </w:p>
    <w:p>
      <w:pPr>
        <w:spacing w:after="0" w:before="0"/>
      </w:pPr>
      <w:r>
        <w:t xml:space="preserve"/>
      </w:r>
    </w:p>
    <w:p>
      <w:pPr>
        <w:spacing w:after="0" w:before="240"/>
        <w:jc w:val="center"/>
      </w:pPr>
      <w:r>
        <w:rPr>
          <w:rFonts w:ascii="Arial" w:cs="Arial" w:eastAsia="Arial" w:hAnsi="Arial"/>
          <w:i/>
          <w:iCs/>
          <w:color w:val="566573"/>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4"/>
      </w:pBdr>
      <w:tabs>
        <w:tab w:val="right" w:pos="9026"/>
      </w:tabs>
    </w:pPr>
    <w:r>
      <w:rPr>
        <w:rFonts w:ascii="Arial" w:cs="Arial" w:eastAsia="Arial" w:hAnsi="Arial"/>
        <w:color w:val="566573"/>
        <w:sz w:val="16"/>
        <w:szCs w:val="16"/>
      </w:rPr>
      <w:t xml:space="preserve">PRISM Hackathon 2026  |  RV College of Engineering  |  Confidential</w:t>
    </w:r>
    <w:r>
      <w:rPr>
        <w:rFonts w:ascii="Arial" w:cs="Arial" w:eastAsia="Arial" w:hAnsi="Arial"/>
        <w:color w:val="566573"/>
        <w:sz w:val="16"/>
        <w:szCs w:val="16"/>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pPr>
    <w:r>
      <w:rPr>
        <w:rFonts w:ascii="Arial" w:cs="Arial" w:eastAsia="Arial" w:hAnsi="Arial"/>
        <w:color w:val="566573"/>
        <w:sz w:val="16"/>
        <w:szCs w:val="16"/>
      </w:rPr>
      <w:t xml:space="preserve">AEGIS — Multi-Agent Semantic Threat Evaluation &amp;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2026-05-06T13:24:12.981Z</dcterms:created>
  <dcterms:modified xsi:type="dcterms:W3CDTF">2026-05-06T13:24:12.982Z</dcterms:modified>
</cp:coreProperties>
</file>

<file path=docProps/custom.xml><?xml version="1.0" encoding="utf-8"?>
<Properties xmlns="http://schemas.openxmlformats.org/officeDocument/2006/custom-properties" xmlns:vt="http://schemas.openxmlformats.org/officeDocument/2006/docPropsVTypes"/>
</file>